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2E2" w:rsidRPr="00546885" w:rsidRDefault="00B73E11" w:rsidP="00746BDA">
      <w:pPr>
        <w:spacing w:line="276" w:lineRule="auto"/>
        <w:jc w:val="right"/>
        <w:rPr>
          <w:rFonts w:ascii="Arial" w:hAnsi="Arial" w:cs="Arial"/>
          <w:lang w:val="en-US"/>
        </w:rPr>
      </w:pPr>
      <w:r>
        <w:rPr>
          <w:rFonts w:ascii="Arial" w:hAnsi="Arial" w:cs="Arial"/>
          <w:lang w:val="en-US"/>
        </w:rPr>
        <w:t>Warsaw, 2 December</w:t>
      </w:r>
      <w:r w:rsidR="00546885">
        <w:rPr>
          <w:rFonts w:ascii="Arial" w:hAnsi="Arial" w:cs="Arial"/>
          <w:lang w:val="en-US"/>
        </w:rPr>
        <w:t xml:space="preserve"> 2019</w:t>
      </w:r>
    </w:p>
    <w:p w:rsidR="0029661C" w:rsidRPr="00546885" w:rsidRDefault="0029661C" w:rsidP="002D7B86">
      <w:pPr>
        <w:spacing w:line="276" w:lineRule="auto"/>
        <w:jc w:val="both"/>
        <w:rPr>
          <w:rFonts w:ascii="Arial" w:hAnsi="Arial" w:cs="Arial"/>
          <w:lang w:val="en-US"/>
        </w:rPr>
      </w:pPr>
    </w:p>
    <w:p w:rsidR="001072E2" w:rsidRPr="00546885" w:rsidRDefault="001072E2" w:rsidP="002D7B86">
      <w:pPr>
        <w:spacing w:line="276" w:lineRule="auto"/>
        <w:jc w:val="both"/>
        <w:rPr>
          <w:rFonts w:ascii="Arial" w:hAnsi="Arial" w:cs="Arial"/>
          <w:lang w:val="en-US"/>
        </w:rPr>
      </w:pPr>
      <w:r w:rsidRPr="00546885">
        <w:rPr>
          <w:rFonts w:ascii="Arial" w:hAnsi="Arial" w:cs="Arial"/>
          <w:lang w:val="en-US"/>
        </w:rPr>
        <w:t>Organisation for Economic Co</w:t>
      </w:r>
      <w:r w:rsidR="001E755D">
        <w:rPr>
          <w:rFonts w:ascii="Arial" w:hAnsi="Arial" w:cs="Arial"/>
          <w:lang w:val="en-US"/>
        </w:rPr>
        <w:t>-</w:t>
      </w:r>
      <w:r w:rsidRPr="00546885">
        <w:rPr>
          <w:rFonts w:ascii="Arial" w:hAnsi="Arial" w:cs="Arial"/>
          <w:lang w:val="en-US"/>
        </w:rPr>
        <w:t>operation and Development</w:t>
      </w:r>
    </w:p>
    <w:p w:rsidR="0029661C" w:rsidRPr="00546885" w:rsidRDefault="00B73E11" w:rsidP="002D7B86">
      <w:pPr>
        <w:spacing w:line="276" w:lineRule="auto"/>
        <w:jc w:val="both"/>
        <w:rPr>
          <w:rFonts w:ascii="Arial" w:hAnsi="Arial" w:cs="Arial"/>
          <w:lang w:val="en-US"/>
        </w:rPr>
      </w:pPr>
      <w:r>
        <w:rPr>
          <w:rFonts w:ascii="Arial" w:hAnsi="Arial" w:cs="Arial"/>
          <w:lang w:val="en-US"/>
        </w:rPr>
        <w:t>International Co-operation and Tax Administration</w:t>
      </w:r>
      <w:r w:rsidR="0029661C" w:rsidRPr="00546885">
        <w:rPr>
          <w:rFonts w:ascii="Arial" w:hAnsi="Arial" w:cs="Arial"/>
          <w:lang w:val="en-US"/>
        </w:rPr>
        <w:t xml:space="preserve"> Division</w:t>
      </w:r>
    </w:p>
    <w:p w:rsidR="0029661C" w:rsidRPr="00546885" w:rsidRDefault="0029661C" w:rsidP="002D7B86">
      <w:pPr>
        <w:spacing w:line="276" w:lineRule="auto"/>
        <w:jc w:val="both"/>
        <w:rPr>
          <w:rFonts w:ascii="Arial" w:hAnsi="Arial" w:cs="Arial"/>
          <w:lang w:val="en-US"/>
        </w:rPr>
      </w:pPr>
      <w:r w:rsidRPr="00546885">
        <w:rPr>
          <w:rFonts w:ascii="Arial" w:hAnsi="Arial" w:cs="Arial"/>
          <w:lang w:val="en-US"/>
        </w:rPr>
        <w:t>Centre for Tax Policy and Administration</w:t>
      </w:r>
    </w:p>
    <w:p w:rsidR="001072E2" w:rsidRPr="00546885" w:rsidRDefault="00B73E11" w:rsidP="002D7B86">
      <w:pPr>
        <w:spacing w:line="276" w:lineRule="auto"/>
        <w:jc w:val="both"/>
        <w:rPr>
          <w:rFonts w:ascii="Arial" w:hAnsi="Arial" w:cs="Arial"/>
          <w:lang w:val="en-US"/>
        </w:rPr>
      </w:pPr>
      <w:r>
        <w:rPr>
          <w:rFonts w:ascii="Arial" w:hAnsi="Arial" w:cs="Arial"/>
          <w:lang w:val="en-US"/>
        </w:rPr>
        <w:t>By e-mail: taxpublicconsultation</w:t>
      </w:r>
      <w:r w:rsidR="001072E2" w:rsidRPr="00546885">
        <w:rPr>
          <w:rFonts w:ascii="Arial" w:hAnsi="Arial" w:cs="Arial"/>
          <w:lang w:val="en-US"/>
        </w:rPr>
        <w:t>@oecd.org</w:t>
      </w:r>
    </w:p>
    <w:p w:rsidR="0029661C" w:rsidRDefault="0029661C" w:rsidP="002D7B86">
      <w:pPr>
        <w:autoSpaceDE w:val="0"/>
        <w:autoSpaceDN w:val="0"/>
        <w:adjustRightInd w:val="0"/>
        <w:spacing w:after="0" w:line="276" w:lineRule="auto"/>
        <w:jc w:val="both"/>
        <w:rPr>
          <w:rFonts w:ascii="Arial" w:hAnsi="Arial" w:cs="Arial"/>
          <w:b/>
          <w:bCs/>
          <w:color w:val="000000"/>
          <w:lang w:val="en-US"/>
        </w:rPr>
      </w:pPr>
    </w:p>
    <w:p w:rsidR="00FA775E" w:rsidRPr="00546885" w:rsidRDefault="00FA775E" w:rsidP="002D7B86">
      <w:pPr>
        <w:autoSpaceDE w:val="0"/>
        <w:autoSpaceDN w:val="0"/>
        <w:adjustRightInd w:val="0"/>
        <w:spacing w:after="0" w:line="276" w:lineRule="auto"/>
        <w:jc w:val="both"/>
        <w:rPr>
          <w:rFonts w:ascii="Arial" w:hAnsi="Arial" w:cs="Arial"/>
          <w:b/>
          <w:bCs/>
          <w:color w:val="000000"/>
          <w:lang w:val="en-US"/>
        </w:rPr>
      </w:pPr>
    </w:p>
    <w:p w:rsidR="0029661C" w:rsidRPr="00546885" w:rsidRDefault="0029661C" w:rsidP="002B794B">
      <w:pPr>
        <w:autoSpaceDE w:val="0"/>
        <w:autoSpaceDN w:val="0"/>
        <w:adjustRightInd w:val="0"/>
        <w:spacing w:after="0" w:line="276" w:lineRule="auto"/>
        <w:jc w:val="center"/>
        <w:rPr>
          <w:rFonts w:ascii="Arial" w:hAnsi="Arial" w:cs="Arial"/>
          <w:b/>
          <w:bCs/>
          <w:color w:val="000000"/>
          <w:lang w:val="en-US"/>
        </w:rPr>
      </w:pPr>
    </w:p>
    <w:p w:rsidR="0029661C" w:rsidRPr="00546885" w:rsidRDefault="0029661C" w:rsidP="002B794B">
      <w:pPr>
        <w:autoSpaceDE w:val="0"/>
        <w:autoSpaceDN w:val="0"/>
        <w:adjustRightInd w:val="0"/>
        <w:spacing w:after="0" w:line="276" w:lineRule="auto"/>
        <w:jc w:val="center"/>
        <w:rPr>
          <w:rFonts w:ascii="Arial" w:hAnsi="Arial" w:cs="Arial"/>
          <w:b/>
          <w:bCs/>
          <w:color w:val="000000"/>
          <w:lang w:val="en-US"/>
        </w:rPr>
      </w:pPr>
      <w:r w:rsidRPr="00546885">
        <w:rPr>
          <w:rFonts w:ascii="Arial" w:hAnsi="Arial" w:cs="Arial"/>
          <w:b/>
          <w:bCs/>
          <w:color w:val="000000"/>
          <w:lang w:val="en-US"/>
        </w:rPr>
        <w:t xml:space="preserve">COMMENTS ON THE OECD </w:t>
      </w:r>
      <w:r w:rsidR="00B73E11">
        <w:rPr>
          <w:rFonts w:ascii="Arial" w:hAnsi="Arial" w:cs="Arial"/>
          <w:b/>
          <w:bCs/>
          <w:color w:val="000000"/>
          <w:lang w:val="en-US"/>
        </w:rPr>
        <w:t>PUBLIC CONSULTATION DOCUMENT</w:t>
      </w:r>
    </w:p>
    <w:p w:rsidR="001072E2" w:rsidRPr="00546885" w:rsidRDefault="00B73E11" w:rsidP="002B794B">
      <w:pPr>
        <w:autoSpaceDE w:val="0"/>
        <w:autoSpaceDN w:val="0"/>
        <w:adjustRightInd w:val="0"/>
        <w:spacing w:after="0" w:line="276" w:lineRule="auto"/>
        <w:jc w:val="center"/>
        <w:rPr>
          <w:rFonts w:ascii="Arial" w:hAnsi="Arial" w:cs="Arial"/>
          <w:b/>
          <w:bCs/>
          <w:color w:val="000000"/>
          <w:lang w:val="en-US"/>
        </w:rPr>
      </w:pPr>
      <w:r>
        <w:rPr>
          <w:rFonts w:ascii="Arial" w:hAnsi="Arial" w:cs="Arial"/>
          <w:b/>
          <w:bCs/>
          <w:color w:val="000000"/>
          <w:lang w:val="en-US"/>
        </w:rPr>
        <w:t xml:space="preserve">GLOBAL ANTI-BASE EROSION PROPOSAL - </w:t>
      </w:r>
      <w:r w:rsidR="00E57E48">
        <w:rPr>
          <w:rFonts w:ascii="Arial" w:hAnsi="Arial" w:cs="Arial"/>
          <w:b/>
          <w:bCs/>
          <w:color w:val="000000"/>
          <w:lang w:val="en-US"/>
        </w:rPr>
        <w:t>PILLAR TWO</w:t>
      </w:r>
    </w:p>
    <w:p w:rsidR="001072E2" w:rsidRDefault="001072E2" w:rsidP="002D7B86">
      <w:pPr>
        <w:spacing w:line="276" w:lineRule="auto"/>
        <w:jc w:val="both"/>
        <w:rPr>
          <w:rFonts w:ascii="Arial" w:hAnsi="Arial" w:cs="Arial"/>
          <w:lang w:val="en-US"/>
        </w:rPr>
      </w:pPr>
    </w:p>
    <w:p w:rsidR="00FA775E" w:rsidRPr="00546885" w:rsidRDefault="00FA775E" w:rsidP="002D7B86">
      <w:pPr>
        <w:spacing w:line="276" w:lineRule="auto"/>
        <w:jc w:val="both"/>
        <w:rPr>
          <w:rFonts w:ascii="Arial" w:hAnsi="Arial" w:cs="Arial"/>
          <w:lang w:val="en-US"/>
        </w:rPr>
      </w:pPr>
    </w:p>
    <w:p w:rsidR="0029661C" w:rsidRDefault="0064202C" w:rsidP="000F0A75">
      <w:pPr>
        <w:spacing w:after="0" w:line="276" w:lineRule="auto"/>
        <w:jc w:val="both"/>
        <w:rPr>
          <w:rFonts w:ascii="Arial" w:hAnsi="Arial" w:cs="Arial"/>
          <w:lang w:val="en-US"/>
        </w:rPr>
      </w:pPr>
      <w:r w:rsidRPr="00546885">
        <w:rPr>
          <w:rFonts w:ascii="Arial" w:hAnsi="Arial" w:cs="Arial"/>
          <w:color w:val="000000"/>
          <w:lang w:val="en-US"/>
        </w:rPr>
        <w:t xml:space="preserve">Interactive Advertising Bureau Poland (IAB Poland) </w:t>
      </w:r>
      <w:r w:rsidR="001072E2" w:rsidRPr="00546885">
        <w:rPr>
          <w:rFonts w:ascii="Arial" w:hAnsi="Arial" w:cs="Arial"/>
          <w:lang w:val="en-US"/>
        </w:rPr>
        <w:t>welcomes the opportunity to contribute to the OECD’s consultation process on taxation of the digitalized economy</w:t>
      </w:r>
      <w:r w:rsidR="000552AD">
        <w:rPr>
          <w:rFonts w:ascii="Arial" w:hAnsi="Arial" w:cs="Arial"/>
          <w:lang w:val="en-US"/>
        </w:rPr>
        <w:t xml:space="preserve"> under Pillar Two Global Anti-Base Erosion Proposal (“GloBE”)</w:t>
      </w:r>
      <w:r w:rsidR="001072E2" w:rsidRPr="00546885">
        <w:rPr>
          <w:rFonts w:ascii="Arial" w:hAnsi="Arial" w:cs="Arial"/>
          <w:lang w:val="en-US"/>
        </w:rPr>
        <w:t xml:space="preserve">. </w:t>
      </w:r>
      <w:r w:rsidR="002B794B" w:rsidRPr="002B794B">
        <w:rPr>
          <w:rFonts w:ascii="Arial" w:hAnsi="Arial" w:cs="Arial"/>
          <w:lang w:val="en-US"/>
        </w:rPr>
        <w:t xml:space="preserve">We strongly support the aim of consensus-based </w:t>
      </w:r>
      <w:r w:rsidR="002B794B">
        <w:rPr>
          <w:rFonts w:ascii="Arial" w:hAnsi="Arial" w:cs="Arial"/>
          <w:lang w:val="en-US"/>
        </w:rPr>
        <w:t xml:space="preserve">and </w:t>
      </w:r>
      <w:r w:rsidR="002B794B" w:rsidRPr="002B794B">
        <w:rPr>
          <w:rFonts w:ascii="Arial" w:hAnsi="Arial" w:cs="Arial"/>
          <w:lang w:val="en-US"/>
        </w:rPr>
        <w:t>long term reform of the inte</w:t>
      </w:r>
      <w:r w:rsidR="002B794B">
        <w:rPr>
          <w:rFonts w:ascii="Arial" w:hAnsi="Arial" w:cs="Arial"/>
          <w:lang w:val="en-US"/>
        </w:rPr>
        <w:t xml:space="preserve">rnational tax system to address </w:t>
      </w:r>
      <w:r w:rsidR="002B794B" w:rsidRPr="002B794B">
        <w:rPr>
          <w:rFonts w:ascii="Arial" w:hAnsi="Arial" w:cs="Arial"/>
          <w:lang w:val="en-US"/>
        </w:rPr>
        <w:t>the chall</w:t>
      </w:r>
      <w:r w:rsidR="005A3F5D">
        <w:rPr>
          <w:rFonts w:ascii="Arial" w:hAnsi="Arial" w:cs="Arial"/>
          <w:lang w:val="en-US"/>
        </w:rPr>
        <w:t>enges arising from the digitaliz</w:t>
      </w:r>
      <w:r w:rsidR="002B794B" w:rsidRPr="002B794B">
        <w:rPr>
          <w:rFonts w:ascii="Arial" w:hAnsi="Arial" w:cs="Arial"/>
          <w:lang w:val="en-US"/>
        </w:rPr>
        <w:t>ation of the economy.</w:t>
      </w:r>
    </w:p>
    <w:p w:rsidR="000F0A75" w:rsidRPr="00546885" w:rsidRDefault="000F0A75" w:rsidP="000F0A75">
      <w:pPr>
        <w:spacing w:after="0" w:line="276" w:lineRule="auto"/>
        <w:jc w:val="both"/>
        <w:rPr>
          <w:rFonts w:ascii="Arial" w:hAnsi="Arial" w:cs="Arial"/>
          <w:lang w:val="en-US"/>
        </w:rPr>
      </w:pPr>
    </w:p>
    <w:p w:rsidR="0029661C" w:rsidRDefault="0064202C" w:rsidP="002D7B86">
      <w:pPr>
        <w:spacing w:line="276" w:lineRule="auto"/>
        <w:jc w:val="both"/>
        <w:rPr>
          <w:rFonts w:ascii="Arial" w:hAnsi="Arial" w:cs="Arial"/>
          <w:lang w:val="en-US"/>
        </w:rPr>
      </w:pPr>
      <w:r w:rsidRPr="00546885">
        <w:rPr>
          <w:rFonts w:ascii="Arial" w:hAnsi="Arial" w:cs="Arial"/>
          <w:color w:val="000000"/>
          <w:lang w:val="en-US"/>
        </w:rPr>
        <w:t xml:space="preserve">IAB Poland is a Polish advertising industry organization that unites and represents entities of the interactive industry. </w:t>
      </w:r>
      <w:r w:rsidRPr="00546885">
        <w:rPr>
          <w:rFonts w:ascii="Arial" w:hAnsi="Arial" w:cs="Arial"/>
          <w:lang w:val="en-US"/>
        </w:rPr>
        <w:t>IAB Poland</w:t>
      </w:r>
      <w:r w:rsidR="0029661C" w:rsidRPr="00546885">
        <w:rPr>
          <w:rFonts w:ascii="Arial" w:hAnsi="Arial" w:cs="Arial"/>
          <w:lang w:val="en-US"/>
        </w:rPr>
        <w:t xml:space="preserve"> </w:t>
      </w:r>
      <w:r w:rsidR="00ED362E">
        <w:rPr>
          <w:rFonts w:ascii="Arial" w:hAnsi="Arial" w:cs="Arial"/>
          <w:lang w:val="en-US"/>
        </w:rPr>
        <w:t>represents</w:t>
      </w:r>
      <w:bookmarkStart w:id="0" w:name="_GoBack"/>
      <w:bookmarkEnd w:id="0"/>
      <w:r w:rsidR="0029661C" w:rsidRPr="00546885">
        <w:rPr>
          <w:rFonts w:ascii="Arial" w:hAnsi="Arial" w:cs="Arial"/>
          <w:lang w:val="en-US"/>
        </w:rPr>
        <w:t xml:space="preserve"> a wide range of entities of different scope and scale of activity, thus the standpoint below addresses the concerns of various types of businesses.</w:t>
      </w:r>
    </w:p>
    <w:p w:rsidR="009109AD" w:rsidRDefault="009109AD" w:rsidP="000552AD">
      <w:pPr>
        <w:spacing w:line="276" w:lineRule="auto"/>
        <w:jc w:val="both"/>
        <w:rPr>
          <w:rFonts w:ascii="Arial" w:hAnsi="Arial" w:cs="Arial"/>
          <w:lang w:val="en-US"/>
        </w:rPr>
      </w:pPr>
      <w:r>
        <w:rPr>
          <w:rFonts w:ascii="Arial" w:hAnsi="Arial" w:cs="Arial"/>
          <w:lang w:val="en-US"/>
        </w:rPr>
        <w:t>GloBE provides for the following rules:</w:t>
      </w:r>
    </w:p>
    <w:p w:rsidR="009109AD" w:rsidRPr="009109AD" w:rsidRDefault="009109AD" w:rsidP="000552AD">
      <w:pPr>
        <w:spacing w:line="276" w:lineRule="auto"/>
        <w:jc w:val="both"/>
        <w:rPr>
          <w:rFonts w:ascii="Arial" w:hAnsi="Arial" w:cs="Arial"/>
          <w:lang w:val="en-US"/>
        </w:rPr>
      </w:pPr>
      <w:r w:rsidRPr="009109AD">
        <w:rPr>
          <w:rFonts w:ascii="Arial" w:hAnsi="Arial" w:cs="Arial"/>
          <w:lang w:val="en-US"/>
        </w:rPr>
        <w:t xml:space="preserve">a) </w:t>
      </w:r>
      <w:r w:rsidRPr="009109AD">
        <w:rPr>
          <w:rFonts w:ascii="Arial" w:hAnsi="Arial" w:cs="Arial"/>
          <w:b/>
          <w:lang w:val="en-US"/>
        </w:rPr>
        <w:t>an income inclusion rule</w:t>
      </w:r>
      <w:r w:rsidRPr="009109AD">
        <w:rPr>
          <w:rFonts w:ascii="Arial" w:hAnsi="Arial" w:cs="Arial"/>
          <w:lang w:val="en-US"/>
        </w:rPr>
        <w:t xml:space="preserve"> that would tax the income of a foreign branch or a controlled entity if that income was subject to tax at an effective rate that is below a minimum rate; </w:t>
      </w:r>
    </w:p>
    <w:p w:rsidR="009109AD" w:rsidRPr="009109AD" w:rsidRDefault="009109AD" w:rsidP="000552AD">
      <w:pPr>
        <w:spacing w:line="276" w:lineRule="auto"/>
        <w:jc w:val="both"/>
        <w:rPr>
          <w:rFonts w:ascii="Arial" w:hAnsi="Arial" w:cs="Arial"/>
          <w:lang w:val="en-US"/>
        </w:rPr>
      </w:pPr>
      <w:r w:rsidRPr="009109AD">
        <w:rPr>
          <w:rFonts w:ascii="Arial" w:hAnsi="Arial" w:cs="Arial"/>
          <w:lang w:val="en-US"/>
        </w:rPr>
        <w:t xml:space="preserve">b) </w:t>
      </w:r>
      <w:r w:rsidRPr="009109AD">
        <w:rPr>
          <w:rFonts w:ascii="Arial" w:hAnsi="Arial" w:cs="Arial"/>
          <w:b/>
          <w:lang w:val="en-US"/>
        </w:rPr>
        <w:t>an undertaxed payments rule</w:t>
      </w:r>
      <w:r w:rsidRPr="009109AD">
        <w:rPr>
          <w:rFonts w:ascii="Arial" w:hAnsi="Arial" w:cs="Arial"/>
          <w:lang w:val="en-US"/>
        </w:rPr>
        <w:t xml:space="preserve"> that would operate by way of a denial of a deduction or imposition of source-based taxation (including withholding tax) for a payment to a related party if that payment was not subject to tax at or above a minimum rate; </w:t>
      </w:r>
    </w:p>
    <w:p w:rsidR="009109AD" w:rsidRPr="009109AD" w:rsidRDefault="009109AD" w:rsidP="000552AD">
      <w:pPr>
        <w:spacing w:line="276" w:lineRule="auto"/>
        <w:jc w:val="both"/>
        <w:rPr>
          <w:rFonts w:ascii="Arial" w:hAnsi="Arial" w:cs="Arial"/>
          <w:lang w:val="en-US"/>
        </w:rPr>
      </w:pPr>
      <w:r w:rsidRPr="009109AD">
        <w:rPr>
          <w:rFonts w:ascii="Arial" w:hAnsi="Arial" w:cs="Arial"/>
          <w:lang w:val="en-US"/>
        </w:rPr>
        <w:t xml:space="preserve">c) </w:t>
      </w:r>
      <w:r w:rsidRPr="009109AD">
        <w:rPr>
          <w:rFonts w:ascii="Arial" w:hAnsi="Arial" w:cs="Arial"/>
          <w:b/>
          <w:lang w:val="en-US"/>
        </w:rPr>
        <w:t>a switch-over rule</w:t>
      </w:r>
      <w:r w:rsidRPr="009109AD">
        <w:rPr>
          <w:rFonts w:ascii="Arial" w:hAnsi="Arial" w:cs="Arial"/>
          <w:lang w:val="en-US"/>
        </w:rPr>
        <w:t xml:space="preserve"> to be introduced into tax treaties that would permit a residence jurisdiction to switch from an exemption to a credit method where the profits attributable to a permanent establishment (PE) or derived from immovable property (which is not part of a PE) are subject to an effective rate below the minimum rate; and </w:t>
      </w:r>
    </w:p>
    <w:p w:rsidR="009109AD" w:rsidRDefault="009109AD" w:rsidP="000552AD">
      <w:pPr>
        <w:spacing w:line="276" w:lineRule="auto"/>
        <w:jc w:val="both"/>
        <w:rPr>
          <w:rFonts w:ascii="Arial" w:hAnsi="Arial" w:cs="Arial"/>
          <w:lang w:val="en-US"/>
        </w:rPr>
      </w:pPr>
      <w:r w:rsidRPr="009109AD">
        <w:rPr>
          <w:rFonts w:ascii="Arial" w:hAnsi="Arial" w:cs="Arial"/>
          <w:lang w:val="en-US"/>
        </w:rPr>
        <w:t xml:space="preserve">d) </w:t>
      </w:r>
      <w:r w:rsidRPr="009109AD">
        <w:rPr>
          <w:rFonts w:ascii="Arial" w:hAnsi="Arial" w:cs="Arial"/>
          <w:b/>
          <w:lang w:val="en-US"/>
        </w:rPr>
        <w:t>a subject to tax rule</w:t>
      </w:r>
      <w:r w:rsidRPr="009109AD">
        <w:rPr>
          <w:rFonts w:ascii="Arial" w:hAnsi="Arial" w:cs="Arial"/>
          <w:lang w:val="en-US"/>
        </w:rPr>
        <w:t xml:space="preserve"> that would complement the undertaxed payment rule by subjecting a payment to withholding or other taxes at source and adjusting eligibility for treaty benefits on certain items of income where the payment is not subject to tax at a minimum rate.</w:t>
      </w:r>
    </w:p>
    <w:p w:rsidR="005D7D19" w:rsidRDefault="005D7D19" w:rsidP="005D7D19">
      <w:pPr>
        <w:spacing w:line="276" w:lineRule="auto"/>
        <w:jc w:val="both"/>
        <w:rPr>
          <w:rFonts w:ascii="Arial" w:hAnsi="Arial" w:cs="Arial"/>
          <w:lang w:val="en-US"/>
        </w:rPr>
      </w:pPr>
      <w:r w:rsidRPr="00546885">
        <w:rPr>
          <w:rFonts w:ascii="Arial" w:hAnsi="Arial" w:cs="Arial"/>
          <w:lang w:val="en-US"/>
        </w:rPr>
        <w:t xml:space="preserve">IAB </w:t>
      </w:r>
      <w:r>
        <w:rPr>
          <w:rFonts w:ascii="Arial" w:hAnsi="Arial" w:cs="Arial"/>
          <w:lang w:val="en-US"/>
        </w:rPr>
        <w:t>Poland would like to present</w:t>
      </w:r>
      <w:r w:rsidRPr="00546885">
        <w:rPr>
          <w:rFonts w:ascii="Arial" w:hAnsi="Arial" w:cs="Arial"/>
          <w:lang w:val="en-US"/>
        </w:rPr>
        <w:t xml:space="preserve"> its </w:t>
      </w:r>
      <w:r>
        <w:rPr>
          <w:rFonts w:ascii="Arial" w:hAnsi="Arial" w:cs="Arial"/>
          <w:lang w:val="en-US"/>
        </w:rPr>
        <w:t xml:space="preserve">remarks to particular issues within GloBE proposal as requested in Public Consultation Document. </w:t>
      </w:r>
    </w:p>
    <w:p w:rsidR="005D7D19" w:rsidRPr="009109AD" w:rsidRDefault="005D7D19" w:rsidP="000552AD">
      <w:pPr>
        <w:spacing w:line="276" w:lineRule="auto"/>
        <w:jc w:val="both"/>
        <w:rPr>
          <w:rFonts w:ascii="Arial" w:hAnsi="Arial" w:cs="Arial"/>
          <w:lang w:val="en-US"/>
        </w:rPr>
      </w:pPr>
    </w:p>
    <w:p w:rsidR="00C05C0E" w:rsidRDefault="00C05C0E" w:rsidP="002D7B86">
      <w:pPr>
        <w:spacing w:line="276" w:lineRule="auto"/>
        <w:jc w:val="both"/>
        <w:rPr>
          <w:rFonts w:ascii="Arial" w:hAnsi="Arial" w:cs="Arial"/>
          <w:lang w:val="en-US"/>
        </w:rPr>
      </w:pPr>
    </w:p>
    <w:p w:rsidR="00B1387A" w:rsidRPr="007D39B8" w:rsidRDefault="00C15DE9" w:rsidP="00B1387A">
      <w:pPr>
        <w:pStyle w:val="Akapitzlist"/>
        <w:numPr>
          <w:ilvl w:val="0"/>
          <w:numId w:val="4"/>
        </w:numPr>
        <w:spacing w:line="276" w:lineRule="auto"/>
        <w:jc w:val="both"/>
        <w:rPr>
          <w:rFonts w:ascii="Arial" w:hAnsi="Arial" w:cs="Arial"/>
          <w:b/>
          <w:lang w:val="en-US"/>
        </w:rPr>
      </w:pPr>
      <w:r w:rsidRPr="00C15DE9">
        <w:rPr>
          <w:rFonts w:ascii="Arial" w:hAnsi="Arial" w:cs="Arial"/>
          <w:b/>
          <w:lang w:val="en-US"/>
        </w:rPr>
        <w:t xml:space="preserve">The </w:t>
      </w:r>
      <w:r w:rsidR="00B01E76">
        <w:rPr>
          <w:rFonts w:ascii="Arial" w:hAnsi="Arial" w:cs="Arial"/>
          <w:b/>
          <w:lang w:val="en-US"/>
        </w:rPr>
        <w:t xml:space="preserve">use of financial accounts as a starting point for the base determination </w:t>
      </w:r>
    </w:p>
    <w:p w:rsidR="007D39B8" w:rsidRDefault="007D39B8" w:rsidP="00B1387A">
      <w:pPr>
        <w:spacing w:line="276" w:lineRule="auto"/>
        <w:jc w:val="both"/>
        <w:rPr>
          <w:rFonts w:ascii="Arial" w:hAnsi="Arial" w:cs="Arial"/>
          <w:lang w:val="en-US"/>
        </w:rPr>
      </w:pPr>
    </w:p>
    <w:p w:rsidR="00D14436" w:rsidRDefault="00D14436" w:rsidP="00B1387A">
      <w:pPr>
        <w:spacing w:line="276" w:lineRule="auto"/>
        <w:jc w:val="both"/>
        <w:rPr>
          <w:rFonts w:ascii="Arial" w:hAnsi="Arial" w:cs="Arial"/>
          <w:lang w:val="en-US"/>
        </w:rPr>
      </w:pPr>
      <w:r w:rsidRPr="00D14436">
        <w:rPr>
          <w:rFonts w:ascii="Arial" w:hAnsi="Arial" w:cs="Arial"/>
          <w:lang w:val="en-US"/>
        </w:rPr>
        <w:t xml:space="preserve">According to GloBE proposal, financial accounts </w:t>
      </w:r>
      <w:r>
        <w:rPr>
          <w:rFonts w:ascii="Arial" w:hAnsi="Arial" w:cs="Arial"/>
          <w:lang w:val="en-US"/>
        </w:rPr>
        <w:t xml:space="preserve">(with agreed adjustments) </w:t>
      </w:r>
      <w:r w:rsidRPr="00D14436">
        <w:rPr>
          <w:rFonts w:ascii="Arial" w:hAnsi="Arial" w:cs="Arial"/>
          <w:lang w:val="en-US"/>
        </w:rPr>
        <w:t xml:space="preserve">should be used as a starting point to determine income </w:t>
      </w:r>
      <w:r>
        <w:rPr>
          <w:rFonts w:ascii="Arial" w:hAnsi="Arial" w:cs="Arial"/>
          <w:lang w:val="en-US"/>
        </w:rPr>
        <w:t xml:space="preserve">for the purposes of calculation of effective tax rate </w:t>
      </w:r>
      <w:r w:rsidR="00AA5E2D">
        <w:rPr>
          <w:rFonts w:ascii="Arial" w:hAnsi="Arial" w:cs="Arial"/>
          <w:lang w:val="en-US"/>
        </w:rPr>
        <w:t xml:space="preserve">(“ETR”) </w:t>
      </w:r>
      <w:r>
        <w:rPr>
          <w:rFonts w:ascii="Arial" w:hAnsi="Arial" w:cs="Arial"/>
          <w:lang w:val="en-US"/>
        </w:rPr>
        <w:t xml:space="preserve">at the level of MNE group. </w:t>
      </w:r>
    </w:p>
    <w:p w:rsidR="0060790D" w:rsidRPr="00E57E48" w:rsidRDefault="00D14436" w:rsidP="00E57E48">
      <w:pPr>
        <w:spacing w:line="276" w:lineRule="auto"/>
        <w:jc w:val="both"/>
        <w:rPr>
          <w:rFonts w:ascii="Arial" w:hAnsi="Arial" w:cs="Arial"/>
          <w:lang w:val="en-US"/>
        </w:rPr>
      </w:pPr>
      <w:r w:rsidRPr="00E57E48">
        <w:rPr>
          <w:rFonts w:ascii="Arial" w:hAnsi="Arial" w:cs="Arial"/>
          <w:lang w:val="en-US"/>
        </w:rPr>
        <w:t xml:space="preserve">IAB Poland agrees </w:t>
      </w:r>
      <w:r w:rsidR="006D1C10" w:rsidRPr="00E57E48">
        <w:rPr>
          <w:rFonts w:ascii="Arial" w:hAnsi="Arial" w:cs="Arial"/>
          <w:lang w:val="en-US"/>
        </w:rPr>
        <w:t xml:space="preserve">in general </w:t>
      </w:r>
      <w:r w:rsidRPr="00E57E48">
        <w:rPr>
          <w:rFonts w:ascii="Arial" w:hAnsi="Arial" w:cs="Arial"/>
          <w:lang w:val="en-US"/>
        </w:rPr>
        <w:t>that th</w:t>
      </w:r>
      <w:r w:rsidR="006D1C10" w:rsidRPr="00E57E48">
        <w:rPr>
          <w:rFonts w:ascii="Arial" w:hAnsi="Arial" w:cs="Arial"/>
          <w:lang w:val="en-US"/>
        </w:rPr>
        <w:t xml:space="preserve">e use of financial accounts as a starting point would simplify and reduce the compliance costs </w:t>
      </w:r>
      <w:r w:rsidR="005D7D19">
        <w:rPr>
          <w:rFonts w:ascii="Arial" w:hAnsi="Arial" w:cs="Arial"/>
          <w:lang w:val="en-US"/>
        </w:rPr>
        <w:t>of the GloBE regulations</w:t>
      </w:r>
      <w:r w:rsidR="006D1C10" w:rsidRPr="00E57E48">
        <w:rPr>
          <w:rFonts w:ascii="Arial" w:hAnsi="Arial" w:cs="Arial"/>
          <w:lang w:val="en-US"/>
        </w:rPr>
        <w:t xml:space="preserve">. </w:t>
      </w:r>
      <w:r w:rsidR="00C241F6" w:rsidRPr="00E57E48">
        <w:rPr>
          <w:rFonts w:ascii="Arial" w:hAnsi="Arial" w:cs="Arial"/>
          <w:lang w:val="en-US"/>
        </w:rPr>
        <w:t xml:space="preserve">Taking into account GloBE provides for new tax law rules that would result in </w:t>
      </w:r>
      <w:r w:rsidR="0060790D" w:rsidRPr="00E57E48">
        <w:rPr>
          <w:rFonts w:ascii="Arial" w:hAnsi="Arial" w:cs="Arial"/>
          <w:lang w:val="en-US"/>
        </w:rPr>
        <w:t xml:space="preserve">additional administrative burden, i.a. </w:t>
      </w:r>
      <w:r w:rsidR="00C241F6" w:rsidRPr="00E57E48">
        <w:rPr>
          <w:rFonts w:ascii="Arial" w:hAnsi="Arial" w:cs="Arial"/>
          <w:lang w:val="en-US"/>
        </w:rPr>
        <w:t>necessity of calculation of tax at the level of th</w:t>
      </w:r>
      <w:r w:rsidR="0060790D" w:rsidRPr="00E57E48">
        <w:rPr>
          <w:rFonts w:ascii="Arial" w:hAnsi="Arial" w:cs="Arial"/>
          <w:lang w:val="en-US"/>
        </w:rPr>
        <w:t xml:space="preserve">e group, simplicity should be the main concern while designing the new rules in more detail. Using financial accounts may also provide acceptably appropriate tax base </w:t>
      </w:r>
      <w:r w:rsidR="001F24C1" w:rsidRPr="00E57E48">
        <w:rPr>
          <w:rFonts w:ascii="Arial" w:hAnsi="Arial" w:cs="Arial"/>
          <w:b/>
          <w:lang w:val="en-US"/>
        </w:rPr>
        <w:t xml:space="preserve">but only </w:t>
      </w:r>
      <w:r w:rsidR="0060790D" w:rsidRPr="00E57E48">
        <w:rPr>
          <w:rFonts w:ascii="Arial" w:hAnsi="Arial" w:cs="Arial"/>
          <w:b/>
          <w:lang w:val="en-US"/>
        </w:rPr>
        <w:t>under the condition that it is subject to relevant and reasonably agreed adjustments</w:t>
      </w:r>
      <w:r w:rsidR="0060790D" w:rsidRPr="00E57E48">
        <w:rPr>
          <w:rFonts w:ascii="Arial" w:hAnsi="Arial" w:cs="Arial"/>
          <w:lang w:val="en-US"/>
        </w:rPr>
        <w:t xml:space="preserve"> so that the major differences between financial accounts and tax accounts are addressed</w:t>
      </w:r>
      <w:r w:rsidR="001F24C1" w:rsidRPr="00E57E48">
        <w:rPr>
          <w:rFonts w:ascii="Arial" w:hAnsi="Arial" w:cs="Arial"/>
          <w:lang w:val="en-US"/>
        </w:rPr>
        <w:t xml:space="preserve">. </w:t>
      </w:r>
      <w:r w:rsidR="0060790D" w:rsidRPr="00E57E48">
        <w:rPr>
          <w:rFonts w:ascii="Arial" w:hAnsi="Arial" w:cs="Arial"/>
          <w:lang w:val="en-US"/>
        </w:rPr>
        <w:t xml:space="preserve"> </w:t>
      </w:r>
    </w:p>
    <w:p w:rsidR="0060790D" w:rsidRPr="00E57E48" w:rsidRDefault="0060790D" w:rsidP="00E57E48">
      <w:pPr>
        <w:spacing w:line="276" w:lineRule="auto"/>
        <w:jc w:val="both"/>
        <w:rPr>
          <w:rFonts w:ascii="Arial" w:hAnsi="Arial" w:cs="Arial"/>
          <w:lang w:val="en-US"/>
        </w:rPr>
      </w:pPr>
      <w:r w:rsidRPr="00E57E48">
        <w:rPr>
          <w:rFonts w:ascii="Arial" w:hAnsi="Arial" w:cs="Arial"/>
          <w:b/>
          <w:lang w:val="en-US"/>
        </w:rPr>
        <w:t xml:space="preserve">Using accounting standards of ultimate parent entity of MNE </w:t>
      </w:r>
      <w:r w:rsidR="0059161E" w:rsidRPr="00E57E48">
        <w:rPr>
          <w:rFonts w:ascii="Arial" w:hAnsi="Arial" w:cs="Arial"/>
          <w:b/>
          <w:lang w:val="en-US"/>
        </w:rPr>
        <w:t>should be considered to be the most practical approach</w:t>
      </w:r>
      <w:r w:rsidR="00681C36" w:rsidRPr="00E57E48">
        <w:rPr>
          <w:rFonts w:ascii="Arial" w:hAnsi="Arial" w:cs="Arial"/>
          <w:b/>
          <w:lang w:val="en-US"/>
        </w:rPr>
        <w:t xml:space="preserve"> (assuming that the financial accounts are to be the starting point for calculation of ETR)</w:t>
      </w:r>
      <w:r w:rsidR="0059161E" w:rsidRPr="00E57E48">
        <w:rPr>
          <w:rFonts w:ascii="Arial" w:hAnsi="Arial" w:cs="Arial"/>
          <w:lang w:val="en-US"/>
        </w:rPr>
        <w:t xml:space="preserve"> taking into account majority of MNEs prepares consolidated reports. It should however be noted that for the </w:t>
      </w:r>
      <w:r w:rsidR="0059161E" w:rsidRPr="00944C4E">
        <w:rPr>
          <w:rFonts w:ascii="Arial" w:hAnsi="Arial" w:cs="Arial"/>
          <w:b/>
          <w:lang w:val="en-US"/>
        </w:rPr>
        <w:t xml:space="preserve">groups that do not prepare consolidated accounts </w:t>
      </w:r>
      <w:r w:rsidR="0059161E" w:rsidRPr="00E57E48">
        <w:rPr>
          <w:rFonts w:ascii="Arial" w:hAnsi="Arial" w:cs="Arial"/>
          <w:lang w:val="en-US"/>
        </w:rPr>
        <w:t>this approach results in the obligation to prepare a calculation</w:t>
      </w:r>
      <w:r w:rsidR="00455829" w:rsidRPr="00E57E48">
        <w:rPr>
          <w:rFonts w:ascii="Arial" w:hAnsi="Arial" w:cs="Arial"/>
          <w:lang w:val="en-US"/>
        </w:rPr>
        <w:t xml:space="preserve"> solely for the purposes of GloBE.</w:t>
      </w:r>
      <w:r w:rsidR="0059161E" w:rsidRPr="00E57E48">
        <w:rPr>
          <w:rFonts w:ascii="Arial" w:hAnsi="Arial" w:cs="Arial"/>
          <w:lang w:val="en-US"/>
        </w:rPr>
        <w:t xml:space="preserve"> </w:t>
      </w:r>
      <w:r w:rsidR="00997D5B">
        <w:rPr>
          <w:rFonts w:ascii="Arial" w:hAnsi="Arial" w:cs="Arial"/>
          <w:lang w:val="en-US"/>
        </w:rPr>
        <w:t xml:space="preserve">Therefore, </w:t>
      </w:r>
      <w:r w:rsidR="00997D5B" w:rsidRPr="00944C4E">
        <w:rPr>
          <w:rFonts w:ascii="Arial" w:hAnsi="Arial" w:cs="Arial"/>
          <w:b/>
          <w:lang w:val="en-US"/>
        </w:rPr>
        <w:t>it should be considered to carve-out these MNE</w:t>
      </w:r>
      <w:r w:rsidR="00944C4E" w:rsidRPr="00944C4E">
        <w:rPr>
          <w:rFonts w:ascii="Arial" w:hAnsi="Arial" w:cs="Arial"/>
          <w:b/>
          <w:lang w:val="en-US"/>
        </w:rPr>
        <w:t xml:space="preserve">s from GloBE </w:t>
      </w:r>
      <w:r w:rsidR="00944C4E">
        <w:rPr>
          <w:rFonts w:ascii="Arial" w:hAnsi="Arial" w:cs="Arial"/>
          <w:lang w:val="en-US"/>
        </w:rPr>
        <w:t xml:space="preserve">(it should concern mainly the smallest MNEs and impact of this carve-out on the general effectiveness of the system should be immaterial). </w:t>
      </w:r>
    </w:p>
    <w:p w:rsidR="00690170" w:rsidRPr="00E57E48" w:rsidRDefault="00690170" w:rsidP="00E57E48">
      <w:pPr>
        <w:spacing w:line="276" w:lineRule="auto"/>
        <w:jc w:val="both"/>
        <w:rPr>
          <w:rFonts w:ascii="Arial" w:hAnsi="Arial" w:cs="Arial"/>
          <w:lang w:val="en-US"/>
        </w:rPr>
      </w:pPr>
      <w:r w:rsidRPr="00E57E48">
        <w:rPr>
          <w:rFonts w:ascii="Arial" w:hAnsi="Arial" w:cs="Arial"/>
          <w:b/>
          <w:lang w:val="en-US"/>
        </w:rPr>
        <w:t xml:space="preserve">The financial standards acceptable in the </w:t>
      </w:r>
      <w:r w:rsidR="00581CA9" w:rsidRPr="00E57E48">
        <w:rPr>
          <w:rFonts w:ascii="Arial" w:hAnsi="Arial" w:cs="Arial"/>
          <w:b/>
          <w:lang w:val="en-US"/>
        </w:rPr>
        <w:t xml:space="preserve">jurisdiction of ultimate parent entity being  </w:t>
      </w:r>
      <w:r w:rsidR="00944C4E">
        <w:rPr>
          <w:rFonts w:ascii="Arial" w:hAnsi="Arial" w:cs="Arial"/>
          <w:b/>
          <w:lang w:val="en-US"/>
        </w:rPr>
        <w:t>a country</w:t>
      </w:r>
      <w:r w:rsidRPr="00E57E48">
        <w:rPr>
          <w:rFonts w:ascii="Arial" w:hAnsi="Arial" w:cs="Arial"/>
          <w:b/>
          <w:lang w:val="en-US"/>
        </w:rPr>
        <w:t xml:space="preserve"> –</w:t>
      </w:r>
      <w:r w:rsidR="00944C4E">
        <w:rPr>
          <w:rFonts w:ascii="Arial" w:hAnsi="Arial" w:cs="Arial"/>
          <w:b/>
          <w:lang w:val="en-US"/>
        </w:rPr>
        <w:t xml:space="preserve"> member</w:t>
      </w:r>
      <w:r w:rsidRPr="00E57E48">
        <w:rPr>
          <w:rFonts w:ascii="Arial" w:hAnsi="Arial" w:cs="Arial"/>
          <w:b/>
          <w:lang w:val="en-US"/>
        </w:rPr>
        <w:t xml:space="preserve"> of OECD should be treated as appropriate for</w:t>
      </w:r>
      <w:r w:rsidR="00944C4E">
        <w:rPr>
          <w:rFonts w:ascii="Arial" w:hAnsi="Arial" w:cs="Arial"/>
          <w:b/>
          <w:lang w:val="en-US"/>
        </w:rPr>
        <w:t xml:space="preserve"> GloBE.</w:t>
      </w:r>
      <w:r w:rsidR="00581CA9" w:rsidRPr="00E57E48">
        <w:rPr>
          <w:rFonts w:ascii="Arial" w:hAnsi="Arial" w:cs="Arial"/>
          <w:b/>
          <w:lang w:val="en-US"/>
        </w:rPr>
        <w:t xml:space="preserve"> In other cases accounting standards that are internat</w:t>
      </w:r>
      <w:r w:rsidR="00455829" w:rsidRPr="00E57E48">
        <w:rPr>
          <w:rFonts w:ascii="Arial" w:hAnsi="Arial" w:cs="Arial"/>
          <w:b/>
          <w:lang w:val="en-US"/>
        </w:rPr>
        <w:t>ionally acceptable (such as IFRS</w:t>
      </w:r>
      <w:r w:rsidR="00581CA9" w:rsidRPr="00E57E48">
        <w:rPr>
          <w:rFonts w:ascii="Arial" w:hAnsi="Arial" w:cs="Arial"/>
          <w:b/>
          <w:lang w:val="en-US"/>
        </w:rPr>
        <w:t>) should be appropriate for GloBE purposes</w:t>
      </w:r>
      <w:r w:rsidR="00581CA9" w:rsidRPr="00E57E48">
        <w:rPr>
          <w:rFonts w:ascii="Arial" w:hAnsi="Arial" w:cs="Arial"/>
          <w:lang w:val="en-US"/>
        </w:rPr>
        <w:t>.</w:t>
      </w:r>
      <w:r w:rsidR="005B3CAA" w:rsidRPr="00E57E48">
        <w:rPr>
          <w:rFonts w:ascii="Arial" w:hAnsi="Arial" w:cs="Arial"/>
          <w:lang w:val="en-US"/>
        </w:rPr>
        <w:t xml:space="preserve"> Indicating that only chosen, e.g. internationally recognized financial accounting standards are acceptable would result in unnecessary additional administrative burden for the groups. Taking into account majority of MNEs have their ultimate parent entity in the jurisdictions with widely developed financial regulations</w:t>
      </w:r>
      <w:r w:rsidR="00944C4E">
        <w:rPr>
          <w:rFonts w:ascii="Arial" w:hAnsi="Arial" w:cs="Arial"/>
          <w:lang w:val="en-US"/>
        </w:rPr>
        <w:t xml:space="preserve"> with which the MNEs must comply,</w:t>
      </w:r>
      <w:r w:rsidR="005B3CAA" w:rsidRPr="00E57E48">
        <w:rPr>
          <w:rFonts w:ascii="Arial" w:hAnsi="Arial" w:cs="Arial"/>
          <w:lang w:val="en-US"/>
        </w:rPr>
        <w:t xml:space="preserve"> the risk connected with the above approach seems to be remote (and immaterial as compared to the potential burden connected with indicating e.g. IFRS and US GAAP as acceptable standards).</w:t>
      </w:r>
    </w:p>
    <w:p w:rsidR="005B3CAA" w:rsidRPr="00E57E48" w:rsidRDefault="005B3CAA" w:rsidP="00E57E48">
      <w:pPr>
        <w:spacing w:line="276" w:lineRule="auto"/>
        <w:jc w:val="both"/>
        <w:rPr>
          <w:rFonts w:ascii="Arial" w:hAnsi="Arial" w:cs="Arial"/>
          <w:lang w:val="en-US"/>
        </w:rPr>
      </w:pPr>
      <w:r w:rsidRPr="00E57E48">
        <w:rPr>
          <w:rFonts w:ascii="Arial" w:hAnsi="Arial" w:cs="Arial"/>
          <w:lang w:val="en-US"/>
        </w:rPr>
        <w:t xml:space="preserve">In addition, allowing for more than one accounting standard for GloBE purposes should not </w:t>
      </w:r>
      <w:r w:rsidR="00944C4E">
        <w:rPr>
          <w:rFonts w:ascii="Arial" w:hAnsi="Arial" w:cs="Arial"/>
          <w:lang w:val="en-US"/>
        </w:rPr>
        <w:t>make it possible to place</w:t>
      </w:r>
      <w:r w:rsidR="005D300E" w:rsidRPr="00E57E48">
        <w:rPr>
          <w:rFonts w:ascii="Arial" w:hAnsi="Arial" w:cs="Arial"/>
          <w:lang w:val="en-US"/>
        </w:rPr>
        <w:t xml:space="preserve"> some MNEs at the competitive advantage provided that </w:t>
      </w:r>
      <w:r w:rsidR="00681C36" w:rsidRPr="00E57E48">
        <w:rPr>
          <w:rFonts w:ascii="Arial" w:hAnsi="Arial" w:cs="Arial"/>
          <w:lang w:val="en-US"/>
        </w:rPr>
        <w:t>the chosen standard</w:t>
      </w:r>
      <w:r w:rsidR="005D300E" w:rsidRPr="00E57E48">
        <w:rPr>
          <w:rFonts w:ascii="Arial" w:hAnsi="Arial" w:cs="Arial"/>
          <w:lang w:val="en-US"/>
        </w:rPr>
        <w:t xml:space="preserve"> will be acceptable in MNE’s ultimate parent jurisdiction </w:t>
      </w:r>
      <w:r w:rsidR="00944C4E">
        <w:rPr>
          <w:rFonts w:ascii="Arial" w:hAnsi="Arial" w:cs="Arial"/>
          <w:lang w:val="en-US"/>
        </w:rPr>
        <w:t>(</w:t>
      </w:r>
      <w:r w:rsidR="005D300E" w:rsidRPr="00E57E48">
        <w:rPr>
          <w:rFonts w:ascii="Arial" w:hAnsi="Arial" w:cs="Arial"/>
          <w:lang w:val="en-US"/>
        </w:rPr>
        <w:t>being OECD member</w:t>
      </w:r>
      <w:r w:rsidR="00944C4E">
        <w:rPr>
          <w:rFonts w:ascii="Arial" w:hAnsi="Arial" w:cs="Arial"/>
          <w:lang w:val="en-US"/>
        </w:rPr>
        <w:t>) or will be internationally acceptable standard</w:t>
      </w:r>
      <w:r w:rsidR="005D300E" w:rsidRPr="00E57E48">
        <w:rPr>
          <w:rFonts w:ascii="Arial" w:hAnsi="Arial" w:cs="Arial"/>
          <w:lang w:val="en-US"/>
        </w:rPr>
        <w:t xml:space="preserve">. </w:t>
      </w:r>
    </w:p>
    <w:p w:rsidR="005D300E" w:rsidRPr="00E57E48" w:rsidRDefault="005D300E" w:rsidP="00E57E48">
      <w:pPr>
        <w:spacing w:line="276" w:lineRule="auto"/>
        <w:jc w:val="both"/>
        <w:rPr>
          <w:rFonts w:ascii="Arial" w:hAnsi="Arial" w:cs="Arial"/>
          <w:lang w:val="en-US"/>
        </w:rPr>
      </w:pPr>
      <w:r w:rsidRPr="00E57E48">
        <w:rPr>
          <w:rFonts w:ascii="Arial" w:hAnsi="Arial" w:cs="Arial"/>
          <w:lang w:val="en-US"/>
        </w:rPr>
        <w:t xml:space="preserve">Assuming </w:t>
      </w:r>
      <w:r w:rsidR="000E259A" w:rsidRPr="00E57E48">
        <w:rPr>
          <w:rFonts w:ascii="Arial" w:hAnsi="Arial" w:cs="Arial"/>
          <w:b/>
          <w:lang w:val="en-US"/>
        </w:rPr>
        <w:t xml:space="preserve">reasonable </w:t>
      </w:r>
      <w:r w:rsidRPr="00E57E48">
        <w:rPr>
          <w:rFonts w:ascii="Arial" w:hAnsi="Arial" w:cs="Arial"/>
          <w:b/>
          <w:lang w:val="en-US"/>
        </w:rPr>
        <w:t>thresholds</w:t>
      </w:r>
      <w:r w:rsidR="000E259A" w:rsidRPr="00E57E48">
        <w:rPr>
          <w:rFonts w:ascii="Arial" w:hAnsi="Arial" w:cs="Arial"/>
          <w:b/>
          <w:lang w:val="en-US"/>
        </w:rPr>
        <w:t xml:space="preserve"> </w:t>
      </w:r>
      <w:r w:rsidRPr="00E57E48">
        <w:rPr>
          <w:rFonts w:ascii="Arial" w:hAnsi="Arial" w:cs="Arial"/>
          <w:b/>
          <w:lang w:val="en-US"/>
        </w:rPr>
        <w:t>should be determined for the purposes of</w:t>
      </w:r>
      <w:r w:rsidR="000E259A" w:rsidRPr="00E57E48">
        <w:rPr>
          <w:rFonts w:ascii="Arial" w:hAnsi="Arial" w:cs="Arial"/>
          <w:b/>
          <w:lang w:val="en-US"/>
        </w:rPr>
        <w:t xml:space="preserve"> GloBE </w:t>
      </w:r>
      <w:r w:rsidRPr="00E57E48">
        <w:rPr>
          <w:rFonts w:ascii="Arial" w:hAnsi="Arial" w:cs="Arial"/>
          <w:b/>
          <w:lang w:val="en-US"/>
        </w:rPr>
        <w:t xml:space="preserve"> undert</w:t>
      </w:r>
      <w:r w:rsidR="000E259A" w:rsidRPr="00E57E48">
        <w:rPr>
          <w:rFonts w:ascii="Arial" w:hAnsi="Arial" w:cs="Arial"/>
          <w:b/>
          <w:lang w:val="en-US"/>
        </w:rPr>
        <w:t>axed payments rule</w:t>
      </w:r>
      <w:r w:rsidR="000E259A" w:rsidRPr="00E57E48">
        <w:rPr>
          <w:rFonts w:ascii="Arial" w:hAnsi="Arial" w:cs="Arial"/>
          <w:lang w:val="en-US"/>
        </w:rPr>
        <w:t xml:space="preserve">, MNEs that do not prepare consolidated financial accounts and at the same time are subject to this rule should not be numerous. Nevertheless in such cases, </w:t>
      </w:r>
      <w:r w:rsidR="00944C4E">
        <w:rPr>
          <w:rFonts w:ascii="Arial" w:hAnsi="Arial" w:cs="Arial"/>
          <w:b/>
          <w:lang w:val="en-US"/>
        </w:rPr>
        <w:t xml:space="preserve">MNEs should be carved-out from GloBE regulations. </w:t>
      </w:r>
    </w:p>
    <w:p w:rsidR="00D14436" w:rsidRPr="00B1387A" w:rsidRDefault="00D14436" w:rsidP="00B1387A">
      <w:pPr>
        <w:spacing w:line="276" w:lineRule="auto"/>
        <w:jc w:val="both"/>
        <w:rPr>
          <w:rFonts w:ascii="Arial" w:hAnsi="Arial" w:cs="Arial"/>
          <w:b/>
          <w:lang w:val="en-US"/>
        </w:rPr>
      </w:pPr>
    </w:p>
    <w:p w:rsidR="00B01E76" w:rsidRDefault="00B01E76" w:rsidP="00C15DE9">
      <w:pPr>
        <w:pStyle w:val="Akapitzlist"/>
        <w:numPr>
          <w:ilvl w:val="0"/>
          <w:numId w:val="4"/>
        </w:numPr>
        <w:spacing w:line="276" w:lineRule="auto"/>
        <w:jc w:val="both"/>
        <w:rPr>
          <w:rFonts w:ascii="Arial" w:hAnsi="Arial" w:cs="Arial"/>
          <w:b/>
          <w:lang w:val="en-US"/>
        </w:rPr>
      </w:pPr>
      <w:r>
        <w:rPr>
          <w:rFonts w:ascii="Arial" w:hAnsi="Arial" w:cs="Arial"/>
          <w:b/>
          <w:lang w:val="en-US"/>
        </w:rPr>
        <w:lastRenderedPageBreak/>
        <w:t xml:space="preserve">The level of </w:t>
      </w:r>
      <w:r w:rsidR="00C73955">
        <w:rPr>
          <w:rFonts w:ascii="Arial" w:hAnsi="Arial" w:cs="Arial"/>
          <w:b/>
          <w:lang w:val="en-US"/>
        </w:rPr>
        <w:t xml:space="preserve">acceptable </w:t>
      </w:r>
      <w:r>
        <w:rPr>
          <w:rFonts w:ascii="Arial" w:hAnsi="Arial" w:cs="Arial"/>
          <w:b/>
          <w:lang w:val="en-US"/>
        </w:rPr>
        <w:t>combining high-tax and low-tax income from different sources</w:t>
      </w:r>
      <w:r w:rsidR="00C73955">
        <w:rPr>
          <w:rFonts w:ascii="Arial" w:hAnsi="Arial" w:cs="Arial"/>
          <w:b/>
          <w:lang w:val="en-US"/>
        </w:rPr>
        <w:t xml:space="preserve"> (“</w:t>
      </w:r>
      <w:r w:rsidR="00FC61CD">
        <w:rPr>
          <w:rFonts w:ascii="Arial" w:hAnsi="Arial" w:cs="Arial"/>
          <w:b/>
          <w:lang w:val="en-US"/>
        </w:rPr>
        <w:t>Ble</w:t>
      </w:r>
      <w:r w:rsidR="00C73955">
        <w:rPr>
          <w:rFonts w:ascii="Arial" w:hAnsi="Arial" w:cs="Arial"/>
          <w:b/>
          <w:lang w:val="en-US"/>
        </w:rPr>
        <w:t>n</w:t>
      </w:r>
      <w:r w:rsidR="00FC61CD">
        <w:rPr>
          <w:rFonts w:ascii="Arial" w:hAnsi="Arial" w:cs="Arial"/>
          <w:b/>
          <w:lang w:val="en-US"/>
        </w:rPr>
        <w:t>d</w:t>
      </w:r>
      <w:r w:rsidR="00C73955">
        <w:rPr>
          <w:rFonts w:ascii="Arial" w:hAnsi="Arial" w:cs="Arial"/>
          <w:b/>
          <w:lang w:val="en-US"/>
        </w:rPr>
        <w:t>ing”)</w:t>
      </w:r>
    </w:p>
    <w:p w:rsidR="007D39B8" w:rsidRDefault="007D39B8" w:rsidP="00C73955">
      <w:pPr>
        <w:spacing w:line="276" w:lineRule="auto"/>
        <w:jc w:val="both"/>
        <w:rPr>
          <w:rFonts w:ascii="Arial" w:hAnsi="Arial" w:cs="Arial"/>
          <w:lang w:val="en-US"/>
        </w:rPr>
      </w:pPr>
    </w:p>
    <w:p w:rsidR="001F24C1" w:rsidRDefault="001F24C1" w:rsidP="00C73955">
      <w:pPr>
        <w:spacing w:line="276" w:lineRule="auto"/>
        <w:jc w:val="both"/>
        <w:rPr>
          <w:rFonts w:ascii="Arial" w:hAnsi="Arial" w:cs="Arial"/>
          <w:lang w:val="en-US"/>
        </w:rPr>
      </w:pPr>
      <w:r w:rsidRPr="001F24C1">
        <w:rPr>
          <w:rFonts w:ascii="Arial" w:hAnsi="Arial" w:cs="Arial"/>
          <w:lang w:val="en-US"/>
        </w:rPr>
        <w:t>GloBe</w:t>
      </w:r>
      <w:r>
        <w:rPr>
          <w:rFonts w:ascii="Arial" w:hAnsi="Arial" w:cs="Arial"/>
          <w:lang w:val="en-US"/>
        </w:rPr>
        <w:t xml:space="preserve"> proposal is based on the effective tax rate test. Thus, it must stipulate rules of acceptable blending, i.e. combining low-tax and high-tax income within one entity or at the level of the group. Therefore, in the Public Consultation Document, there is </w:t>
      </w:r>
      <w:r w:rsidR="00AA5E2D">
        <w:rPr>
          <w:rFonts w:ascii="Arial" w:hAnsi="Arial" w:cs="Arial"/>
          <w:lang w:val="en-US"/>
        </w:rPr>
        <w:t>a discussion whether blending should be allowed:</w:t>
      </w:r>
    </w:p>
    <w:p w:rsidR="00AA5E2D" w:rsidRDefault="00AA5E2D" w:rsidP="00AA5E2D">
      <w:pPr>
        <w:pStyle w:val="Akapitzlist"/>
        <w:numPr>
          <w:ilvl w:val="0"/>
          <w:numId w:val="12"/>
        </w:numPr>
        <w:spacing w:line="276" w:lineRule="auto"/>
        <w:jc w:val="both"/>
        <w:rPr>
          <w:rFonts w:ascii="Arial" w:hAnsi="Arial" w:cs="Arial"/>
          <w:lang w:val="en-US"/>
        </w:rPr>
      </w:pPr>
      <w:r>
        <w:rPr>
          <w:rFonts w:ascii="Arial" w:hAnsi="Arial" w:cs="Arial"/>
          <w:lang w:val="en-US"/>
        </w:rPr>
        <w:t xml:space="preserve">broadly – </w:t>
      </w:r>
      <w:r w:rsidR="004B11D9">
        <w:rPr>
          <w:rFonts w:ascii="Arial" w:hAnsi="Arial" w:cs="Arial"/>
          <w:lang w:val="en-US"/>
        </w:rPr>
        <w:t xml:space="preserve">globally, </w:t>
      </w:r>
      <w:r>
        <w:rPr>
          <w:rFonts w:ascii="Arial" w:hAnsi="Arial" w:cs="Arial"/>
          <w:lang w:val="en-US"/>
        </w:rPr>
        <w:t>at the level of the group; thus income from all sources of all group entities would be taken into account to calculate ETR;</w:t>
      </w:r>
    </w:p>
    <w:p w:rsidR="004B11D9" w:rsidRDefault="004B11D9" w:rsidP="00AA5E2D">
      <w:pPr>
        <w:pStyle w:val="Akapitzlist"/>
        <w:numPr>
          <w:ilvl w:val="0"/>
          <w:numId w:val="12"/>
        </w:numPr>
        <w:spacing w:line="276" w:lineRule="auto"/>
        <w:jc w:val="both"/>
        <w:rPr>
          <w:rFonts w:ascii="Arial" w:hAnsi="Arial" w:cs="Arial"/>
          <w:lang w:val="en-US"/>
        </w:rPr>
      </w:pPr>
      <w:r>
        <w:rPr>
          <w:rFonts w:ascii="Arial" w:hAnsi="Arial" w:cs="Arial"/>
          <w:lang w:val="en-US"/>
        </w:rPr>
        <w:t>at the level of the jurisdiction – thus mixing of low-tax and high-tax of entities of MNE group from given jurisdiction would be blended;</w:t>
      </w:r>
      <w:r w:rsidR="00854DB4">
        <w:rPr>
          <w:rFonts w:ascii="Arial" w:hAnsi="Arial" w:cs="Arial"/>
          <w:lang w:val="en-US"/>
        </w:rPr>
        <w:t xml:space="preserve"> or</w:t>
      </w:r>
    </w:p>
    <w:p w:rsidR="004B11D9" w:rsidRPr="00AA5E2D" w:rsidRDefault="004B11D9" w:rsidP="00AA5E2D">
      <w:pPr>
        <w:pStyle w:val="Akapitzlist"/>
        <w:numPr>
          <w:ilvl w:val="0"/>
          <w:numId w:val="12"/>
        </w:numPr>
        <w:spacing w:line="276" w:lineRule="auto"/>
        <w:jc w:val="both"/>
        <w:rPr>
          <w:rFonts w:ascii="Arial" w:hAnsi="Arial" w:cs="Arial"/>
          <w:lang w:val="en-US"/>
        </w:rPr>
      </w:pPr>
      <w:r>
        <w:rPr>
          <w:rFonts w:ascii="Arial" w:hAnsi="Arial" w:cs="Arial"/>
          <w:lang w:val="en-US"/>
        </w:rPr>
        <w:t>at the level of particular entities.</w:t>
      </w:r>
    </w:p>
    <w:p w:rsidR="00C73955" w:rsidRDefault="004B11D9" w:rsidP="00C73955">
      <w:pPr>
        <w:spacing w:line="276" w:lineRule="auto"/>
        <w:jc w:val="both"/>
        <w:rPr>
          <w:rFonts w:ascii="Arial" w:hAnsi="Arial" w:cs="Arial"/>
          <w:lang w:val="en-US"/>
        </w:rPr>
      </w:pPr>
      <w:r>
        <w:rPr>
          <w:rFonts w:ascii="Arial" w:hAnsi="Arial" w:cs="Arial"/>
          <w:lang w:val="en-US"/>
        </w:rPr>
        <w:t xml:space="preserve">IAB Poland is of the opinion that </w:t>
      </w:r>
      <w:r w:rsidR="00FC61CD" w:rsidRPr="00264366">
        <w:rPr>
          <w:rFonts w:ascii="Arial" w:hAnsi="Arial" w:cs="Arial"/>
          <w:b/>
          <w:lang w:val="en-US"/>
        </w:rPr>
        <w:t>blending at the global level should be allowed</w:t>
      </w:r>
      <w:r w:rsidR="00FC61CD">
        <w:rPr>
          <w:rFonts w:ascii="Arial" w:hAnsi="Arial" w:cs="Arial"/>
          <w:lang w:val="en-US"/>
        </w:rPr>
        <w:t>. This is because, GloBE, like many other initiatives aimed at combatting profit shifting mechanism and more generally tax avoidance</w:t>
      </w:r>
      <w:r w:rsidR="00A97C53">
        <w:rPr>
          <w:rFonts w:ascii="Arial" w:hAnsi="Arial" w:cs="Arial"/>
          <w:lang w:val="en-US"/>
        </w:rPr>
        <w:t>,</w:t>
      </w:r>
      <w:r w:rsidR="00FC61CD">
        <w:rPr>
          <w:rFonts w:ascii="Arial" w:hAnsi="Arial" w:cs="Arial"/>
          <w:lang w:val="en-US"/>
        </w:rPr>
        <w:t xml:space="preserve"> result</w:t>
      </w:r>
      <w:r w:rsidR="00A97C53">
        <w:rPr>
          <w:rFonts w:ascii="Arial" w:hAnsi="Arial" w:cs="Arial"/>
          <w:lang w:val="en-US"/>
        </w:rPr>
        <w:t>s</w:t>
      </w:r>
      <w:r w:rsidR="00FC61CD">
        <w:rPr>
          <w:rFonts w:ascii="Arial" w:hAnsi="Arial" w:cs="Arial"/>
          <w:lang w:val="en-US"/>
        </w:rPr>
        <w:t xml:space="preserve"> in huge increase of complexity of tax regulations and consequently, increase of administrative burden and compliance cost</w:t>
      </w:r>
      <w:r w:rsidR="00A97C53">
        <w:rPr>
          <w:rFonts w:ascii="Arial" w:hAnsi="Arial" w:cs="Arial"/>
          <w:lang w:val="en-US"/>
        </w:rPr>
        <w:t xml:space="preserve"> (</w:t>
      </w:r>
      <w:r w:rsidR="00FC61CD">
        <w:rPr>
          <w:rFonts w:ascii="Arial" w:hAnsi="Arial" w:cs="Arial"/>
          <w:lang w:val="en-US"/>
        </w:rPr>
        <w:t>not to forget the decrease of certitude of the law</w:t>
      </w:r>
      <w:r w:rsidR="00A97C53">
        <w:rPr>
          <w:rFonts w:ascii="Arial" w:hAnsi="Arial" w:cs="Arial"/>
          <w:lang w:val="en-US"/>
        </w:rPr>
        <w:t>)</w:t>
      </w:r>
      <w:r w:rsidR="00FC61CD">
        <w:rPr>
          <w:rFonts w:ascii="Arial" w:hAnsi="Arial" w:cs="Arial"/>
          <w:lang w:val="en-US"/>
        </w:rPr>
        <w:t xml:space="preserve">. Thus, </w:t>
      </w:r>
      <w:r w:rsidR="00FC61CD" w:rsidRPr="00264366">
        <w:rPr>
          <w:rFonts w:ascii="Arial" w:hAnsi="Arial" w:cs="Arial"/>
          <w:b/>
          <w:lang w:val="en-US"/>
        </w:rPr>
        <w:t>it is highly desirable from business organization perspective to choose solutions that are least complicated</w:t>
      </w:r>
      <w:r w:rsidR="00FC61CD">
        <w:rPr>
          <w:rFonts w:ascii="Arial" w:hAnsi="Arial" w:cs="Arial"/>
          <w:lang w:val="en-US"/>
        </w:rPr>
        <w:t xml:space="preserve">. For some MNEs having dozens of subsidiaries in numerous jurisdictions obligation of blending at the entity level would requires efforts that should be seen as inadequately high as compared to the potential risk of making the solution less effective. </w:t>
      </w:r>
    </w:p>
    <w:p w:rsidR="00BC3891" w:rsidRPr="001F24C1" w:rsidRDefault="00264366" w:rsidP="00C73955">
      <w:pPr>
        <w:spacing w:line="276" w:lineRule="auto"/>
        <w:jc w:val="both"/>
        <w:rPr>
          <w:rFonts w:ascii="Arial" w:hAnsi="Arial" w:cs="Arial"/>
          <w:lang w:val="en-US"/>
        </w:rPr>
      </w:pPr>
      <w:r>
        <w:rPr>
          <w:rFonts w:ascii="Arial" w:hAnsi="Arial" w:cs="Arial"/>
          <w:b/>
          <w:lang w:val="en-US"/>
        </w:rPr>
        <w:t>Blending at the group</w:t>
      </w:r>
      <w:r w:rsidR="00FC61CD" w:rsidRPr="00264366">
        <w:rPr>
          <w:rFonts w:ascii="Arial" w:hAnsi="Arial" w:cs="Arial"/>
          <w:b/>
          <w:lang w:val="en-US"/>
        </w:rPr>
        <w:t xml:space="preserve"> level still allows for achieving the aim of making MNEs paying income tax accor</w:t>
      </w:r>
      <w:r w:rsidRPr="00264366">
        <w:rPr>
          <w:rFonts w:ascii="Arial" w:hAnsi="Arial" w:cs="Arial"/>
          <w:b/>
          <w:lang w:val="en-US"/>
        </w:rPr>
        <w:t>ding to the agreed minimum ETR</w:t>
      </w:r>
      <w:r>
        <w:rPr>
          <w:rFonts w:ascii="Arial" w:hAnsi="Arial" w:cs="Arial"/>
          <w:lang w:val="en-US"/>
        </w:rPr>
        <w:t xml:space="preserve"> even though the allocation of taxing rights may not be that adequate as in </w:t>
      </w:r>
      <w:r w:rsidR="00854DB4">
        <w:rPr>
          <w:rFonts w:ascii="Arial" w:hAnsi="Arial" w:cs="Arial"/>
          <w:lang w:val="en-US"/>
        </w:rPr>
        <w:t xml:space="preserve">the </w:t>
      </w:r>
      <w:r>
        <w:rPr>
          <w:rFonts w:ascii="Arial" w:hAnsi="Arial" w:cs="Arial"/>
          <w:lang w:val="en-US"/>
        </w:rPr>
        <w:t xml:space="preserve">case of blending at the entity or jurisdiction level. </w:t>
      </w:r>
    </w:p>
    <w:p w:rsidR="001F24C1" w:rsidRPr="00C73955" w:rsidRDefault="001F24C1" w:rsidP="00C73955">
      <w:pPr>
        <w:spacing w:line="276" w:lineRule="auto"/>
        <w:jc w:val="both"/>
        <w:rPr>
          <w:rFonts w:ascii="Arial" w:hAnsi="Arial" w:cs="Arial"/>
          <w:b/>
          <w:lang w:val="en-US"/>
        </w:rPr>
      </w:pPr>
    </w:p>
    <w:p w:rsidR="00B01E76" w:rsidRDefault="00B1387A" w:rsidP="00C15DE9">
      <w:pPr>
        <w:pStyle w:val="Akapitzlist"/>
        <w:numPr>
          <w:ilvl w:val="0"/>
          <w:numId w:val="4"/>
        </w:numPr>
        <w:spacing w:line="276" w:lineRule="auto"/>
        <w:jc w:val="both"/>
        <w:rPr>
          <w:rFonts w:ascii="Arial" w:hAnsi="Arial" w:cs="Arial"/>
          <w:b/>
          <w:lang w:val="en-US"/>
        </w:rPr>
      </w:pPr>
      <w:r>
        <w:rPr>
          <w:rFonts w:ascii="Arial" w:hAnsi="Arial" w:cs="Arial"/>
          <w:b/>
          <w:lang w:val="en-US"/>
        </w:rPr>
        <w:t>Carve-outs and thresholds</w:t>
      </w:r>
    </w:p>
    <w:p w:rsidR="007D39B8" w:rsidRDefault="007D39B8" w:rsidP="00374AAB">
      <w:pPr>
        <w:pStyle w:val="Default"/>
        <w:spacing w:line="276" w:lineRule="auto"/>
        <w:jc w:val="both"/>
        <w:rPr>
          <w:color w:val="auto"/>
          <w:sz w:val="22"/>
          <w:szCs w:val="22"/>
          <w:lang w:val="en-US"/>
        </w:rPr>
      </w:pPr>
    </w:p>
    <w:p w:rsidR="00374AAB" w:rsidRDefault="00F10002" w:rsidP="00374AAB">
      <w:pPr>
        <w:pStyle w:val="Default"/>
        <w:spacing w:line="276" w:lineRule="auto"/>
        <w:jc w:val="both"/>
        <w:rPr>
          <w:color w:val="auto"/>
          <w:sz w:val="22"/>
          <w:szCs w:val="22"/>
          <w:lang w:val="en-US"/>
        </w:rPr>
      </w:pPr>
      <w:r w:rsidRPr="00374AAB">
        <w:rPr>
          <w:color w:val="auto"/>
          <w:sz w:val="22"/>
          <w:szCs w:val="22"/>
          <w:lang w:val="en-US"/>
        </w:rPr>
        <w:t xml:space="preserve">IAB Poland strongly supports the idea of providing reasonable carve-outs and thresholds for GloBE rules. </w:t>
      </w:r>
      <w:r w:rsidR="00374AAB" w:rsidRPr="00854DB4">
        <w:rPr>
          <w:b/>
          <w:color w:val="auto"/>
          <w:sz w:val="22"/>
          <w:szCs w:val="22"/>
          <w:lang w:val="en-US"/>
        </w:rPr>
        <w:t>Carve-outs should be stipulated for the cases where the risk of undertaxation does not exist</w:t>
      </w:r>
      <w:r w:rsidR="00374AAB">
        <w:rPr>
          <w:color w:val="auto"/>
          <w:sz w:val="22"/>
          <w:szCs w:val="22"/>
          <w:lang w:val="en-US"/>
        </w:rPr>
        <w:t xml:space="preserve"> </w:t>
      </w:r>
      <w:r w:rsidR="00374AAB" w:rsidRPr="00854DB4">
        <w:rPr>
          <w:b/>
          <w:color w:val="auto"/>
          <w:sz w:val="22"/>
          <w:szCs w:val="22"/>
          <w:lang w:val="en-US"/>
        </w:rPr>
        <w:t>or is managed by other anti-avoidance rules that meet certain criteria</w:t>
      </w:r>
      <w:r w:rsidR="00374AAB">
        <w:rPr>
          <w:color w:val="auto"/>
          <w:sz w:val="22"/>
          <w:szCs w:val="22"/>
          <w:lang w:val="en-US"/>
        </w:rPr>
        <w:t xml:space="preserve"> (e.g. </w:t>
      </w:r>
      <w:r w:rsidR="009C690E">
        <w:rPr>
          <w:color w:val="auto"/>
          <w:sz w:val="22"/>
          <w:szCs w:val="22"/>
          <w:lang w:val="en-US"/>
        </w:rPr>
        <w:t>are compliant with general anti-avoidance rule</w:t>
      </w:r>
      <w:r w:rsidR="00E46589">
        <w:rPr>
          <w:color w:val="auto"/>
          <w:sz w:val="22"/>
          <w:szCs w:val="22"/>
          <w:lang w:val="en-US"/>
        </w:rPr>
        <w:t xml:space="preserve"> “GAAR”</w:t>
      </w:r>
      <w:r w:rsidR="009C690E">
        <w:rPr>
          <w:color w:val="auto"/>
          <w:sz w:val="22"/>
          <w:szCs w:val="22"/>
          <w:lang w:val="en-US"/>
        </w:rPr>
        <w:t xml:space="preserve"> </w:t>
      </w:r>
      <w:r w:rsidR="00E46589">
        <w:rPr>
          <w:color w:val="auto"/>
          <w:sz w:val="22"/>
          <w:szCs w:val="22"/>
          <w:lang w:val="en-US"/>
        </w:rPr>
        <w:t xml:space="preserve">as </w:t>
      </w:r>
      <w:r w:rsidR="009C690E">
        <w:rPr>
          <w:color w:val="auto"/>
          <w:sz w:val="22"/>
          <w:szCs w:val="22"/>
          <w:lang w:val="en-US"/>
        </w:rPr>
        <w:t xml:space="preserve">provided in EU Anti-Tax Avoidance Directive). </w:t>
      </w:r>
      <w:r w:rsidR="00E46589">
        <w:rPr>
          <w:color w:val="auto"/>
          <w:sz w:val="22"/>
          <w:szCs w:val="22"/>
          <w:lang w:val="en-US"/>
        </w:rPr>
        <w:t xml:space="preserve">Therefore, </w:t>
      </w:r>
      <w:r w:rsidR="00E57E48">
        <w:rPr>
          <w:color w:val="auto"/>
          <w:sz w:val="22"/>
          <w:szCs w:val="22"/>
          <w:lang w:val="en-US"/>
        </w:rPr>
        <w:t xml:space="preserve">in case all </w:t>
      </w:r>
      <w:r w:rsidR="00854DB4">
        <w:rPr>
          <w:color w:val="auto"/>
          <w:sz w:val="22"/>
          <w:szCs w:val="22"/>
          <w:lang w:val="en-US"/>
        </w:rPr>
        <w:t xml:space="preserve">or majority of </w:t>
      </w:r>
      <w:r w:rsidR="00E57E48">
        <w:rPr>
          <w:color w:val="auto"/>
          <w:sz w:val="22"/>
          <w:szCs w:val="22"/>
          <w:lang w:val="en-US"/>
        </w:rPr>
        <w:t xml:space="preserve">the MNE group entities operate in </w:t>
      </w:r>
      <w:r w:rsidR="00E46589">
        <w:rPr>
          <w:color w:val="auto"/>
          <w:sz w:val="22"/>
          <w:szCs w:val="22"/>
          <w:lang w:val="en-US"/>
        </w:rPr>
        <w:t>the countries that have implement</w:t>
      </w:r>
      <w:r w:rsidR="00E57E48">
        <w:rPr>
          <w:color w:val="auto"/>
          <w:sz w:val="22"/>
          <w:szCs w:val="22"/>
          <w:lang w:val="en-US"/>
        </w:rPr>
        <w:t>ed</w:t>
      </w:r>
      <w:r w:rsidR="00E46589">
        <w:rPr>
          <w:color w:val="auto"/>
          <w:sz w:val="22"/>
          <w:szCs w:val="22"/>
          <w:lang w:val="en-US"/>
        </w:rPr>
        <w:t xml:space="preserve"> anti-tax avoidance measures package </w:t>
      </w:r>
      <w:r w:rsidR="00854DB4">
        <w:rPr>
          <w:color w:val="auto"/>
          <w:sz w:val="22"/>
          <w:szCs w:val="22"/>
          <w:lang w:val="en-US"/>
        </w:rPr>
        <w:t xml:space="preserve">such </w:t>
      </w:r>
      <w:r w:rsidR="00E57E48">
        <w:rPr>
          <w:color w:val="auto"/>
          <w:sz w:val="22"/>
          <w:szCs w:val="22"/>
          <w:lang w:val="en-US"/>
        </w:rPr>
        <w:t>as</w:t>
      </w:r>
      <w:r w:rsidR="00E46589">
        <w:rPr>
          <w:color w:val="auto"/>
          <w:sz w:val="22"/>
          <w:szCs w:val="22"/>
          <w:lang w:val="en-US"/>
        </w:rPr>
        <w:t xml:space="preserve"> CFC rules, exit tax or limitatio</w:t>
      </w:r>
      <w:r w:rsidR="00E57E48">
        <w:rPr>
          <w:color w:val="auto"/>
          <w:sz w:val="22"/>
          <w:szCs w:val="22"/>
          <w:lang w:val="en-US"/>
        </w:rPr>
        <w:t>n of deductibility of interest</w:t>
      </w:r>
      <w:r w:rsidR="00854DB4">
        <w:rPr>
          <w:color w:val="auto"/>
          <w:sz w:val="22"/>
          <w:szCs w:val="22"/>
          <w:lang w:val="en-US"/>
        </w:rPr>
        <w:t>, MNE</w:t>
      </w:r>
      <w:r w:rsidR="00E57E48">
        <w:rPr>
          <w:color w:val="auto"/>
          <w:sz w:val="22"/>
          <w:szCs w:val="22"/>
          <w:lang w:val="en-US"/>
        </w:rPr>
        <w:t xml:space="preserve"> could be allowed not to apply GloBE measures. </w:t>
      </w:r>
    </w:p>
    <w:p w:rsidR="00E57E48" w:rsidRDefault="00E57E48" w:rsidP="00374AAB">
      <w:pPr>
        <w:pStyle w:val="Default"/>
        <w:spacing w:line="276" w:lineRule="auto"/>
        <w:jc w:val="both"/>
        <w:rPr>
          <w:color w:val="auto"/>
          <w:sz w:val="22"/>
          <w:szCs w:val="22"/>
          <w:lang w:val="en-US"/>
        </w:rPr>
      </w:pPr>
    </w:p>
    <w:p w:rsidR="00E57E48" w:rsidRDefault="00E57E48" w:rsidP="00374AAB">
      <w:pPr>
        <w:pStyle w:val="Default"/>
        <w:spacing w:line="276" w:lineRule="auto"/>
        <w:jc w:val="both"/>
        <w:rPr>
          <w:color w:val="auto"/>
          <w:sz w:val="22"/>
          <w:szCs w:val="22"/>
          <w:lang w:val="en-US"/>
        </w:rPr>
      </w:pPr>
      <w:r w:rsidRPr="00854DB4">
        <w:rPr>
          <w:b/>
          <w:color w:val="auto"/>
          <w:sz w:val="22"/>
          <w:szCs w:val="22"/>
          <w:lang w:val="en-US"/>
        </w:rPr>
        <w:t>Carve-outs should be based on simple, clear and measureable criteria</w:t>
      </w:r>
      <w:r>
        <w:rPr>
          <w:color w:val="auto"/>
          <w:sz w:val="22"/>
          <w:szCs w:val="22"/>
          <w:lang w:val="en-US"/>
        </w:rPr>
        <w:t xml:space="preserve"> rather than on the substance test or other circumstances. This is to </w:t>
      </w:r>
      <w:r w:rsidRPr="00854DB4">
        <w:rPr>
          <w:b/>
          <w:color w:val="auto"/>
          <w:sz w:val="22"/>
          <w:szCs w:val="22"/>
          <w:lang w:val="en-US"/>
        </w:rPr>
        <w:t>make sure the new rules are predictable for taxpayers and not subject to ex-post assessment by tax authorities</w:t>
      </w:r>
      <w:r>
        <w:rPr>
          <w:color w:val="auto"/>
          <w:sz w:val="22"/>
          <w:szCs w:val="22"/>
          <w:lang w:val="en-US"/>
        </w:rPr>
        <w:t xml:space="preserve">. </w:t>
      </w:r>
      <w:r w:rsidRPr="00E57E48">
        <w:rPr>
          <w:color w:val="auto"/>
          <w:sz w:val="22"/>
          <w:szCs w:val="22"/>
          <w:lang w:val="en-US"/>
        </w:rPr>
        <w:t xml:space="preserve">This is needed to </w:t>
      </w:r>
      <w:r w:rsidRPr="00854DB4">
        <w:rPr>
          <w:b/>
          <w:color w:val="auto"/>
          <w:sz w:val="22"/>
          <w:szCs w:val="22"/>
          <w:lang w:val="en-US"/>
        </w:rPr>
        <w:t>avoid costly disputes and excessive compliance costs for taxpayers</w:t>
      </w:r>
      <w:r w:rsidRPr="00E57E48">
        <w:rPr>
          <w:color w:val="auto"/>
          <w:sz w:val="22"/>
          <w:szCs w:val="22"/>
          <w:lang w:val="en-US"/>
        </w:rPr>
        <w:t>. The goal of international tax policy should be a predictable tax regime, that allows companies operating across borders to make long-term investments.</w:t>
      </w:r>
    </w:p>
    <w:p w:rsidR="00374AAB" w:rsidRDefault="00374AAB" w:rsidP="00374AAB">
      <w:pPr>
        <w:pStyle w:val="Default"/>
        <w:spacing w:line="276" w:lineRule="auto"/>
        <w:jc w:val="both"/>
        <w:rPr>
          <w:color w:val="auto"/>
          <w:sz w:val="22"/>
          <w:szCs w:val="22"/>
          <w:lang w:val="en-US"/>
        </w:rPr>
      </w:pPr>
    </w:p>
    <w:p w:rsidR="00374AAB" w:rsidRPr="00374AAB" w:rsidRDefault="00374AAB" w:rsidP="00374AAB">
      <w:pPr>
        <w:pStyle w:val="Default"/>
        <w:spacing w:line="276" w:lineRule="auto"/>
        <w:jc w:val="both"/>
        <w:rPr>
          <w:color w:val="auto"/>
          <w:sz w:val="22"/>
          <w:szCs w:val="22"/>
          <w:lang w:val="en-US"/>
        </w:rPr>
      </w:pPr>
      <w:r w:rsidRPr="00374AAB">
        <w:rPr>
          <w:color w:val="auto"/>
          <w:sz w:val="22"/>
          <w:szCs w:val="22"/>
          <w:lang w:val="en-US"/>
        </w:rPr>
        <w:lastRenderedPageBreak/>
        <w:t>Implementation of the thresholds is necessary in order to protect the small and medium local enterprises whose presence in foreign jurisdiction is limited and does not infringe materially the current rules on split of taxing rights be</w:t>
      </w:r>
      <w:r w:rsidR="00E46589">
        <w:rPr>
          <w:color w:val="auto"/>
          <w:sz w:val="22"/>
          <w:szCs w:val="22"/>
          <w:lang w:val="en-US"/>
        </w:rPr>
        <w:t xml:space="preserve">tween the countries against potential </w:t>
      </w:r>
      <w:r w:rsidRPr="00374AAB">
        <w:rPr>
          <w:color w:val="auto"/>
          <w:sz w:val="22"/>
          <w:szCs w:val="22"/>
          <w:lang w:val="en-US"/>
        </w:rPr>
        <w:t xml:space="preserve">administrative burden connected with </w:t>
      </w:r>
      <w:r w:rsidR="00E46589">
        <w:rPr>
          <w:color w:val="auto"/>
          <w:sz w:val="22"/>
          <w:szCs w:val="22"/>
          <w:lang w:val="en-US"/>
        </w:rPr>
        <w:t xml:space="preserve">the new taxation rules. </w:t>
      </w:r>
      <w:r w:rsidR="007512D1">
        <w:rPr>
          <w:color w:val="auto"/>
          <w:sz w:val="22"/>
          <w:szCs w:val="22"/>
          <w:lang w:val="en-US"/>
        </w:rPr>
        <w:t>Thus, the MNEs with consolidated revenue level below certain threshold, e.g. USD 100M should automatically be excluded from GloBE proposal.</w:t>
      </w:r>
    </w:p>
    <w:p w:rsidR="00374AAB" w:rsidRPr="00374AAB" w:rsidRDefault="00374AAB" w:rsidP="00374AAB">
      <w:pPr>
        <w:pStyle w:val="Default"/>
        <w:spacing w:line="276" w:lineRule="auto"/>
        <w:jc w:val="both"/>
        <w:rPr>
          <w:color w:val="auto"/>
          <w:sz w:val="22"/>
          <w:szCs w:val="22"/>
          <w:lang w:val="en-US"/>
        </w:rPr>
      </w:pPr>
    </w:p>
    <w:p w:rsidR="00A74F4E" w:rsidRDefault="00A74F4E" w:rsidP="00A74F4E">
      <w:pPr>
        <w:spacing w:after="0" w:line="276" w:lineRule="auto"/>
        <w:jc w:val="both"/>
        <w:rPr>
          <w:rFonts w:ascii="Arial" w:hAnsi="Arial" w:cs="Arial"/>
          <w:lang w:val="en-US"/>
        </w:rPr>
      </w:pPr>
    </w:p>
    <w:p w:rsidR="00A655D3" w:rsidRPr="00546885" w:rsidRDefault="00A655D3" w:rsidP="002D7B86">
      <w:pPr>
        <w:autoSpaceDE w:val="0"/>
        <w:autoSpaceDN w:val="0"/>
        <w:adjustRightInd w:val="0"/>
        <w:spacing w:line="276" w:lineRule="auto"/>
        <w:jc w:val="both"/>
        <w:rPr>
          <w:rFonts w:ascii="Arial" w:hAnsi="Arial" w:cs="Arial"/>
          <w:color w:val="000000"/>
          <w:lang w:val="en-US"/>
        </w:rPr>
      </w:pPr>
    </w:p>
    <w:p w:rsidR="00A655D3" w:rsidRPr="00C15DE9" w:rsidRDefault="0064202C" w:rsidP="002D7B86">
      <w:pPr>
        <w:autoSpaceDE w:val="0"/>
        <w:autoSpaceDN w:val="0"/>
        <w:adjustRightInd w:val="0"/>
        <w:spacing w:line="276" w:lineRule="auto"/>
        <w:jc w:val="both"/>
        <w:rPr>
          <w:rFonts w:ascii="Arial" w:hAnsi="Arial" w:cs="Arial"/>
          <w:b/>
          <w:color w:val="000000"/>
          <w:lang w:val="en-US"/>
        </w:rPr>
      </w:pPr>
      <w:r w:rsidRPr="00C15DE9">
        <w:rPr>
          <w:rFonts w:ascii="Arial" w:hAnsi="Arial" w:cs="Arial"/>
          <w:b/>
          <w:color w:val="000000"/>
          <w:lang w:val="en-US"/>
        </w:rPr>
        <w:t>About IAB Poland</w:t>
      </w:r>
    </w:p>
    <w:p w:rsidR="00A655D3" w:rsidRDefault="00A655D3" w:rsidP="00E169C3">
      <w:pPr>
        <w:autoSpaceDE w:val="0"/>
        <w:autoSpaceDN w:val="0"/>
        <w:adjustRightInd w:val="0"/>
        <w:spacing w:after="0" w:line="276" w:lineRule="auto"/>
        <w:jc w:val="both"/>
        <w:rPr>
          <w:rFonts w:ascii="Arial" w:hAnsi="Arial" w:cs="Arial"/>
          <w:color w:val="000000"/>
          <w:lang w:val="en-US"/>
        </w:rPr>
      </w:pPr>
      <w:r w:rsidRPr="00546885">
        <w:rPr>
          <w:rFonts w:ascii="Arial" w:hAnsi="Arial" w:cs="Arial"/>
          <w:color w:val="000000"/>
          <w:lang w:val="en-US"/>
        </w:rPr>
        <w:t>Interactive Advertising Bureau Poland (IAB Poland) is a Polish advertising industry organization that unites and represents entities of the interactive industry. IAB Poland members include more than 200 companies, including the biggest web portals, global media groups, interactive agencies, media houses and technology providers. In 2012 the organization received the MIXX Awards Europe, honoring</w:t>
      </w:r>
      <w:r w:rsidR="0064202C" w:rsidRPr="00546885">
        <w:rPr>
          <w:rFonts w:ascii="Arial" w:hAnsi="Arial" w:cs="Arial"/>
          <w:color w:val="000000"/>
          <w:lang w:val="en-US"/>
        </w:rPr>
        <w:t xml:space="preserve"> the best IAB bureau in Europe.</w:t>
      </w:r>
    </w:p>
    <w:p w:rsidR="00E169C3" w:rsidRPr="00546885" w:rsidRDefault="00E169C3" w:rsidP="00E169C3">
      <w:pPr>
        <w:autoSpaceDE w:val="0"/>
        <w:autoSpaceDN w:val="0"/>
        <w:adjustRightInd w:val="0"/>
        <w:spacing w:after="0" w:line="276" w:lineRule="auto"/>
        <w:jc w:val="both"/>
        <w:rPr>
          <w:rFonts w:ascii="Arial" w:hAnsi="Arial" w:cs="Arial"/>
          <w:color w:val="000000"/>
          <w:lang w:val="en-US"/>
        </w:rPr>
      </w:pPr>
    </w:p>
    <w:p w:rsidR="00A655D3" w:rsidRDefault="00A655D3" w:rsidP="00E169C3">
      <w:pPr>
        <w:autoSpaceDE w:val="0"/>
        <w:autoSpaceDN w:val="0"/>
        <w:adjustRightInd w:val="0"/>
        <w:spacing w:after="0" w:line="276" w:lineRule="auto"/>
        <w:jc w:val="both"/>
        <w:rPr>
          <w:rFonts w:ascii="Arial" w:hAnsi="Arial" w:cs="Arial"/>
          <w:color w:val="000000"/>
          <w:lang w:val="en-US"/>
        </w:rPr>
      </w:pPr>
      <w:r w:rsidRPr="00546885">
        <w:rPr>
          <w:rFonts w:ascii="Arial" w:hAnsi="Arial" w:cs="Arial"/>
          <w:color w:val="000000"/>
          <w:lang w:val="en-US"/>
        </w:rPr>
        <w:t xml:space="preserve">The mission of IAB Poland is to support development of the Internet industry and take regulatory actions to enhance the competitiveness of the market, conducting research projects, leading educational programs </w:t>
      </w:r>
      <w:r w:rsidR="0064202C" w:rsidRPr="00546885">
        <w:rPr>
          <w:rFonts w:ascii="Arial" w:hAnsi="Arial" w:cs="Arial"/>
          <w:color w:val="000000"/>
          <w:lang w:val="en-US"/>
        </w:rPr>
        <w:t>and providing legal protection.</w:t>
      </w:r>
    </w:p>
    <w:p w:rsidR="00E169C3" w:rsidRPr="00546885" w:rsidRDefault="00E169C3" w:rsidP="00E169C3">
      <w:pPr>
        <w:autoSpaceDE w:val="0"/>
        <w:autoSpaceDN w:val="0"/>
        <w:adjustRightInd w:val="0"/>
        <w:spacing w:after="0" w:line="276" w:lineRule="auto"/>
        <w:jc w:val="both"/>
        <w:rPr>
          <w:rFonts w:ascii="Arial" w:hAnsi="Arial" w:cs="Arial"/>
          <w:color w:val="000000"/>
          <w:lang w:val="en-US"/>
        </w:rPr>
      </w:pPr>
    </w:p>
    <w:p w:rsidR="00A655D3" w:rsidRDefault="00A655D3" w:rsidP="002D7B86">
      <w:pPr>
        <w:autoSpaceDE w:val="0"/>
        <w:autoSpaceDN w:val="0"/>
        <w:adjustRightInd w:val="0"/>
        <w:spacing w:line="276" w:lineRule="auto"/>
        <w:jc w:val="both"/>
        <w:rPr>
          <w:rFonts w:ascii="Arial" w:hAnsi="Arial" w:cs="Arial"/>
          <w:color w:val="000000"/>
          <w:lang w:val="en-US"/>
        </w:rPr>
      </w:pPr>
      <w:r w:rsidRPr="00546885">
        <w:rPr>
          <w:rFonts w:ascii="Arial" w:hAnsi="Arial" w:cs="Arial"/>
          <w:color w:val="000000"/>
          <w:lang w:val="en-US"/>
        </w:rPr>
        <w:t>The organization cooperates closely with American bureau as well as with European hubs, such as IAB Europe and others, both global and local organizations. IAB Poland holds a number of initiatives that aim to educate both the market and Internet users. Those initiatives are: “Safe youngsters on the Internet”, “Watch legal”, “Everything about cookies”, “Comment, not offend”, “Advertise consciously. Initiative for fair advertising”.</w:t>
      </w:r>
    </w:p>
    <w:p w:rsidR="00C15DE9" w:rsidRDefault="00C15DE9" w:rsidP="002D7B86">
      <w:pPr>
        <w:autoSpaceDE w:val="0"/>
        <w:autoSpaceDN w:val="0"/>
        <w:adjustRightInd w:val="0"/>
        <w:spacing w:line="276" w:lineRule="auto"/>
        <w:jc w:val="both"/>
        <w:rPr>
          <w:rFonts w:ascii="Arial" w:hAnsi="Arial" w:cs="Arial"/>
          <w:color w:val="000000"/>
          <w:lang w:val="en-US"/>
        </w:rPr>
      </w:pPr>
    </w:p>
    <w:sectPr w:rsidR="00C15DE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A3A" w:rsidRDefault="006D0A3A" w:rsidP="00A16EB3">
      <w:pPr>
        <w:spacing w:after="0" w:line="240" w:lineRule="auto"/>
      </w:pPr>
      <w:r>
        <w:separator/>
      </w:r>
    </w:p>
  </w:endnote>
  <w:endnote w:type="continuationSeparator" w:id="0">
    <w:p w:rsidR="006D0A3A" w:rsidRDefault="006D0A3A" w:rsidP="00A16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656872"/>
      <w:docPartObj>
        <w:docPartGallery w:val="Page Numbers (Bottom of Page)"/>
        <w:docPartUnique/>
      </w:docPartObj>
    </w:sdtPr>
    <w:sdtEndPr/>
    <w:sdtContent>
      <w:p w:rsidR="00A16EB3" w:rsidRDefault="00A16EB3">
        <w:pPr>
          <w:pStyle w:val="Stopka"/>
          <w:jc w:val="center"/>
        </w:pPr>
        <w:r>
          <w:fldChar w:fldCharType="begin"/>
        </w:r>
        <w:r>
          <w:instrText>PAGE   \* MERGEFORMAT</w:instrText>
        </w:r>
        <w:r>
          <w:fldChar w:fldCharType="separate"/>
        </w:r>
        <w:r w:rsidR="0013479D">
          <w:rPr>
            <w:noProof/>
          </w:rPr>
          <w:t>4</w:t>
        </w:r>
        <w:r>
          <w:fldChar w:fldCharType="end"/>
        </w:r>
      </w:p>
    </w:sdtContent>
  </w:sdt>
  <w:p w:rsidR="00A16EB3" w:rsidRDefault="00A16EB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A3A" w:rsidRDefault="006D0A3A" w:rsidP="00A16EB3">
      <w:pPr>
        <w:spacing w:after="0" w:line="240" w:lineRule="auto"/>
      </w:pPr>
      <w:r>
        <w:separator/>
      </w:r>
    </w:p>
  </w:footnote>
  <w:footnote w:type="continuationSeparator" w:id="0">
    <w:p w:rsidR="006D0A3A" w:rsidRDefault="006D0A3A" w:rsidP="00A16E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7460"/>
    <w:multiLevelType w:val="hybridMultilevel"/>
    <w:tmpl w:val="C31ECE42"/>
    <w:lvl w:ilvl="0" w:tplc="1B04CE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9A626D"/>
    <w:multiLevelType w:val="hybridMultilevel"/>
    <w:tmpl w:val="986E3892"/>
    <w:lvl w:ilvl="0" w:tplc="2D44D4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A39D8"/>
    <w:multiLevelType w:val="hybridMultilevel"/>
    <w:tmpl w:val="95C8C164"/>
    <w:lvl w:ilvl="0" w:tplc="1B04CE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EB60EC"/>
    <w:multiLevelType w:val="hybridMultilevel"/>
    <w:tmpl w:val="672A5440"/>
    <w:lvl w:ilvl="0" w:tplc="2D44D43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2B147E"/>
    <w:multiLevelType w:val="hybridMultilevel"/>
    <w:tmpl w:val="B6707350"/>
    <w:lvl w:ilvl="0" w:tplc="1B04CE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D86A74"/>
    <w:multiLevelType w:val="hybridMultilevel"/>
    <w:tmpl w:val="33CCA2D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194F6D"/>
    <w:multiLevelType w:val="hybridMultilevel"/>
    <w:tmpl w:val="B7165A3A"/>
    <w:lvl w:ilvl="0" w:tplc="29AE4D1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DF6F31"/>
    <w:multiLevelType w:val="hybridMultilevel"/>
    <w:tmpl w:val="F1EA391A"/>
    <w:lvl w:ilvl="0" w:tplc="D44AAB7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1307E0"/>
    <w:multiLevelType w:val="hybridMultilevel"/>
    <w:tmpl w:val="23FA8AA2"/>
    <w:lvl w:ilvl="0" w:tplc="1B04CE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3A55C3B"/>
    <w:multiLevelType w:val="hybridMultilevel"/>
    <w:tmpl w:val="584E343E"/>
    <w:lvl w:ilvl="0" w:tplc="7EFCFC1E">
      <w:start w:val="1"/>
      <w:numFmt w:val="upp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8C9770C"/>
    <w:multiLevelType w:val="hybridMultilevel"/>
    <w:tmpl w:val="C8061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A085F1B"/>
    <w:multiLevelType w:val="hybridMultilevel"/>
    <w:tmpl w:val="ADA8BAAE"/>
    <w:lvl w:ilvl="0" w:tplc="1B04CE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3"/>
  </w:num>
  <w:num w:numId="5">
    <w:abstractNumId w:val="6"/>
  </w:num>
  <w:num w:numId="6">
    <w:abstractNumId w:val="9"/>
  </w:num>
  <w:num w:numId="7">
    <w:abstractNumId w:val="8"/>
  </w:num>
  <w:num w:numId="8">
    <w:abstractNumId w:val="2"/>
  </w:num>
  <w:num w:numId="9">
    <w:abstractNumId w:val="4"/>
  </w:num>
  <w:num w:numId="10">
    <w:abstractNumId w:val="0"/>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E9"/>
    <w:rsid w:val="000062D2"/>
    <w:rsid w:val="0001647D"/>
    <w:rsid w:val="00043B72"/>
    <w:rsid w:val="00050409"/>
    <w:rsid w:val="000552AD"/>
    <w:rsid w:val="00071232"/>
    <w:rsid w:val="000E259A"/>
    <w:rsid w:val="000F0A75"/>
    <w:rsid w:val="001072E2"/>
    <w:rsid w:val="0013479D"/>
    <w:rsid w:val="00176BDA"/>
    <w:rsid w:val="001A3C1A"/>
    <w:rsid w:val="001E13AE"/>
    <w:rsid w:val="001E755D"/>
    <w:rsid w:val="001F01D0"/>
    <w:rsid w:val="001F24C1"/>
    <w:rsid w:val="002171A7"/>
    <w:rsid w:val="00264366"/>
    <w:rsid w:val="00283D48"/>
    <w:rsid w:val="0029661C"/>
    <w:rsid w:val="002B794B"/>
    <w:rsid w:val="002D1B74"/>
    <w:rsid w:val="002D7B86"/>
    <w:rsid w:val="002E1350"/>
    <w:rsid w:val="00323CBD"/>
    <w:rsid w:val="003677A7"/>
    <w:rsid w:val="00374AAB"/>
    <w:rsid w:val="00382135"/>
    <w:rsid w:val="00396F1D"/>
    <w:rsid w:val="003A1151"/>
    <w:rsid w:val="003A6EB3"/>
    <w:rsid w:val="00414C17"/>
    <w:rsid w:val="00436E1A"/>
    <w:rsid w:val="00455829"/>
    <w:rsid w:val="004660B4"/>
    <w:rsid w:val="004B11D9"/>
    <w:rsid w:val="004E1BE9"/>
    <w:rsid w:val="00537789"/>
    <w:rsid w:val="005411D1"/>
    <w:rsid w:val="00546885"/>
    <w:rsid w:val="00560042"/>
    <w:rsid w:val="00581CA9"/>
    <w:rsid w:val="0059161E"/>
    <w:rsid w:val="00594C90"/>
    <w:rsid w:val="005A06B8"/>
    <w:rsid w:val="005A3F5D"/>
    <w:rsid w:val="005B3CAA"/>
    <w:rsid w:val="005D300E"/>
    <w:rsid w:val="005D7D19"/>
    <w:rsid w:val="0060790D"/>
    <w:rsid w:val="0062131D"/>
    <w:rsid w:val="00634AF4"/>
    <w:rsid w:val="0064202C"/>
    <w:rsid w:val="006523E8"/>
    <w:rsid w:val="006724C4"/>
    <w:rsid w:val="00681C36"/>
    <w:rsid w:val="00690170"/>
    <w:rsid w:val="006D0A3A"/>
    <w:rsid w:val="006D1C10"/>
    <w:rsid w:val="006D1C5E"/>
    <w:rsid w:val="006F01A0"/>
    <w:rsid w:val="00735AD5"/>
    <w:rsid w:val="00741697"/>
    <w:rsid w:val="00746BDA"/>
    <w:rsid w:val="007512D1"/>
    <w:rsid w:val="00756544"/>
    <w:rsid w:val="00770332"/>
    <w:rsid w:val="00784B99"/>
    <w:rsid w:val="0079157F"/>
    <w:rsid w:val="007D39B8"/>
    <w:rsid w:val="00803636"/>
    <w:rsid w:val="00854DB4"/>
    <w:rsid w:val="00881C91"/>
    <w:rsid w:val="00885936"/>
    <w:rsid w:val="0090491C"/>
    <w:rsid w:val="009109AD"/>
    <w:rsid w:val="00932C82"/>
    <w:rsid w:val="00941671"/>
    <w:rsid w:val="00944C4E"/>
    <w:rsid w:val="00951DFA"/>
    <w:rsid w:val="00954653"/>
    <w:rsid w:val="009701F8"/>
    <w:rsid w:val="00971D2C"/>
    <w:rsid w:val="00997D5B"/>
    <w:rsid w:val="009C587D"/>
    <w:rsid w:val="009C690E"/>
    <w:rsid w:val="00A16EB3"/>
    <w:rsid w:val="00A27E1C"/>
    <w:rsid w:val="00A655D3"/>
    <w:rsid w:val="00A74F4E"/>
    <w:rsid w:val="00A97C53"/>
    <w:rsid w:val="00AA5E2D"/>
    <w:rsid w:val="00AB1923"/>
    <w:rsid w:val="00AE3F09"/>
    <w:rsid w:val="00AF45E2"/>
    <w:rsid w:val="00B01E76"/>
    <w:rsid w:val="00B1387A"/>
    <w:rsid w:val="00B73E11"/>
    <w:rsid w:val="00BA77D0"/>
    <w:rsid w:val="00BB1810"/>
    <w:rsid w:val="00BC3891"/>
    <w:rsid w:val="00BF4370"/>
    <w:rsid w:val="00C05C0E"/>
    <w:rsid w:val="00C15DE9"/>
    <w:rsid w:val="00C241F6"/>
    <w:rsid w:val="00C73955"/>
    <w:rsid w:val="00CA6123"/>
    <w:rsid w:val="00CA659A"/>
    <w:rsid w:val="00CB43EF"/>
    <w:rsid w:val="00D14436"/>
    <w:rsid w:val="00D70FA7"/>
    <w:rsid w:val="00D7428A"/>
    <w:rsid w:val="00D865F8"/>
    <w:rsid w:val="00DE123B"/>
    <w:rsid w:val="00E169C3"/>
    <w:rsid w:val="00E26C7B"/>
    <w:rsid w:val="00E37A45"/>
    <w:rsid w:val="00E46589"/>
    <w:rsid w:val="00E5291C"/>
    <w:rsid w:val="00E57E48"/>
    <w:rsid w:val="00E65D82"/>
    <w:rsid w:val="00ED362E"/>
    <w:rsid w:val="00F10002"/>
    <w:rsid w:val="00F24DAA"/>
    <w:rsid w:val="00F75C8E"/>
    <w:rsid w:val="00F84A97"/>
    <w:rsid w:val="00FA2737"/>
    <w:rsid w:val="00FA775E"/>
    <w:rsid w:val="00FC61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77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1BE9"/>
    <w:pPr>
      <w:ind w:left="720"/>
      <w:contextualSpacing/>
    </w:pPr>
  </w:style>
  <w:style w:type="paragraph" w:customStyle="1" w:styleId="Default">
    <w:name w:val="Default"/>
    <w:rsid w:val="001072E2"/>
    <w:pPr>
      <w:autoSpaceDE w:val="0"/>
      <w:autoSpaceDN w:val="0"/>
      <w:adjustRightInd w:val="0"/>
      <w:spacing w:after="0" w:line="240" w:lineRule="auto"/>
    </w:pPr>
    <w:rPr>
      <w:rFonts w:ascii="Arial" w:hAnsi="Arial" w:cs="Arial"/>
      <w:color w:val="000000"/>
      <w:sz w:val="24"/>
      <w:szCs w:val="24"/>
    </w:rPr>
  </w:style>
  <w:style w:type="character" w:customStyle="1" w:styleId="highlight">
    <w:name w:val="highlight"/>
    <w:basedOn w:val="Domylnaczcionkaakapitu"/>
    <w:rsid w:val="00071232"/>
  </w:style>
  <w:style w:type="paragraph" w:styleId="Poprawka">
    <w:name w:val="Revision"/>
    <w:hidden/>
    <w:uiPriority w:val="99"/>
    <w:semiHidden/>
    <w:rsid w:val="00560042"/>
    <w:pPr>
      <w:spacing w:after="0" w:line="240" w:lineRule="auto"/>
    </w:pPr>
  </w:style>
  <w:style w:type="paragraph" w:styleId="Tekstdymka">
    <w:name w:val="Balloon Text"/>
    <w:basedOn w:val="Normalny"/>
    <w:link w:val="TekstdymkaZnak"/>
    <w:uiPriority w:val="99"/>
    <w:semiHidden/>
    <w:unhideWhenUsed/>
    <w:rsid w:val="005600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0042"/>
    <w:rPr>
      <w:rFonts w:ascii="Segoe UI" w:hAnsi="Segoe UI" w:cs="Segoe UI"/>
      <w:sz w:val="18"/>
      <w:szCs w:val="18"/>
    </w:rPr>
  </w:style>
  <w:style w:type="character" w:styleId="Odwoaniedokomentarza">
    <w:name w:val="annotation reference"/>
    <w:basedOn w:val="Domylnaczcionkaakapitu"/>
    <w:uiPriority w:val="99"/>
    <w:semiHidden/>
    <w:unhideWhenUsed/>
    <w:rsid w:val="0062131D"/>
    <w:rPr>
      <w:sz w:val="16"/>
      <w:szCs w:val="16"/>
    </w:rPr>
  </w:style>
  <w:style w:type="paragraph" w:styleId="Tekstkomentarza">
    <w:name w:val="annotation text"/>
    <w:basedOn w:val="Normalny"/>
    <w:link w:val="TekstkomentarzaZnak"/>
    <w:uiPriority w:val="99"/>
    <w:semiHidden/>
    <w:unhideWhenUsed/>
    <w:rsid w:val="006213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2131D"/>
    <w:rPr>
      <w:sz w:val="20"/>
      <w:szCs w:val="20"/>
    </w:rPr>
  </w:style>
  <w:style w:type="paragraph" w:styleId="Tematkomentarza">
    <w:name w:val="annotation subject"/>
    <w:basedOn w:val="Tekstkomentarza"/>
    <w:next w:val="Tekstkomentarza"/>
    <w:link w:val="TematkomentarzaZnak"/>
    <w:uiPriority w:val="99"/>
    <w:semiHidden/>
    <w:unhideWhenUsed/>
    <w:rsid w:val="0062131D"/>
    <w:rPr>
      <w:b/>
      <w:bCs/>
    </w:rPr>
  </w:style>
  <w:style w:type="character" w:customStyle="1" w:styleId="TematkomentarzaZnak">
    <w:name w:val="Temat komentarza Znak"/>
    <w:basedOn w:val="TekstkomentarzaZnak"/>
    <w:link w:val="Tematkomentarza"/>
    <w:uiPriority w:val="99"/>
    <w:semiHidden/>
    <w:rsid w:val="0062131D"/>
    <w:rPr>
      <w:b/>
      <w:bCs/>
      <w:sz w:val="20"/>
      <w:szCs w:val="20"/>
    </w:rPr>
  </w:style>
  <w:style w:type="paragraph" w:styleId="Nagwek">
    <w:name w:val="header"/>
    <w:basedOn w:val="Normalny"/>
    <w:link w:val="NagwekZnak"/>
    <w:uiPriority w:val="99"/>
    <w:unhideWhenUsed/>
    <w:rsid w:val="00A16E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6EB3"/>
  </w:style>
  <w:style w:type="paragraph" w:styleId="Stopka">
    <w:name w:val="footer"/>
    <w:basedOn w:val="Normalny"/>
    <w:link w:val="StopkaZnak"/>
    <w:uiPriority w:val="99"/>
    <w:unhideWhenUsed/>
    <w:rsid w:val="00A16E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6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2391">
      <w:bodyDiv w:val="1"/>
      <w:marLeft w:val="0"/>
      <w:marRight w:val="0"/>
      <w:marTop w:val="0"/>
      <w:marBottom w:val="0"/>
      <w:divBdr>
        <w:top w:val="none" w:sz="0" w:space="0" w:color="auto"/>
        <w:left w:val="none" w:sz="0" w:space="0" w:color="auto"/>
        <w:bottom w:val="none" w:sz="0" w:space="0" w:color="auto"/>
        <w:right w:val="none" w:sz="0" w:space="0" w:color="auto"/>
      </w:divBdr>
      <w:divsChild>
        <w:div w:id="1069039337">
          <w:marLeft w:val="0"/>
          <w:marRight w:val="0"/>
          <w:marTop w:val="0"/>
          <w:marBottom w:val="0"/>
          <w:divBdr>
            <w:top w:val="none" w:sz="0" w:space="0" w:color="auto"/>
            <w:left w:val="none" w:sz="0" w:space="0" w:color="auto"/>
            <w:bottom w:val="none" w:sz="0" w:space="0" w:color="auto"/>
            <w:right w:val="none" w:sz="0" w:space="0" w:color="auto"/>
          </w:divBdr>
        </w:div>
      </w:divsChild>
    </w:div>
    <w:div w:id="32272392">
      <w:bodyDiv w:val="1"/>
      <w:marLeft w:val="0"/>
      <w:marRight w:val="0"/>
      <w:marTop w:val="0"/>
      <w:marBottom w:val="0"/>
      <w:divBdr>
        <w:top w:val="none" w:sz="0" w:space="0" w:color="auto"/>
        <w:left w:val="none" w:sz="0" w:space="0" w:color="auto"/>
        <w:bottom w:val="none" w:sz="0" w:space="0" w:color="auto"/>
        <w:right w:val="none" w:sz="0" w:space="0" w:color="auto"/>
      </w:divBdr>
      <w:divsChild>
        <w:div w:id="706225124">
          <w:marLeft w:val="0"/>
          <w:marRight w:val="0"/>
          <w:marTop w:val="0"/>
          <w:marBottom w:val="0"/>
          <w:divBdr>
            <w:top w:val="none" w:sz="0" w:space="0" w:color="auto"/>
            <w:left w:val="none" w:sz="0" w:space="0" w:color="auto"/>
            <w:bottom w:val="none" w:sz="0" w:space="0" w:color="auto"/>
            <w:right w:val="none" w:sz="0" w:space="0" w:color="auto"/>
          </w:divBdr>
        </w:div>
      </w:divsChild>
    </w:div>
    <w:div w:id="77337636">
      <w:bodyDiv w:val="1"/>
      <w:marLeft w:val="0"/>
      <w:marRight w:val="0"/>
      <w:marTop w:val="0"/>
      <w:marBottom w:val="0"/>
      <w:divBdr>
        <w:top w:val="none" w:sz="0" w:space="0" w:color="auto"/>
        <w:left w:val="none" w:sz="0" w:space="0" w:color="auto"/>
        <w:bottom w:val="none" w:sz="0" w:space="0" w:color="auto"/>
        <w:right w:val="none" w:sz="0" w:space="0" w:color="auto"/>
      </w:divBdr>
      <w:divsChild>
        <w:div w:id="950624406">
          <w:marLeft w:val="0"/>
          <w:marRight w:val="0"/>
          <w:marTop w:val="0"/>
          <w:marBottom w:val="0"/>
          <w:divBdr>
            <w:top w:val="none" w:sz="0" w:space="0" w:color="auto"/>
            <w:left w:val="none" w:sz="0" w:space="0" w:color="auto"/>
            <w:bottom w:val="none" w:sz="0" w:space="0" w:color="auto"/>
            <w:right w:val="none" w:sz="0" w:space="0" w:color="auto"/>
          </w:divBdr>
        </w:div>
      </w:divsChild>
    </w:div>
    <w:div w:id="167521142">
      <w:bodyDiv w:val="1"/>
      <w:marLeft w:val="0"/>
      <w:marRight w:val="0"/>
      <w:marTop w:val="0"/>
      <w:marBottom w:val="0"/>
      <w:divBdr>
        <w:top w:val="none" w:sz="0" w:space="0" w:color="auto"/>
        <w:left w:val="none" w:sz="0" w:space="0" w:color="auto"/>
        <w:bottom w:val="none" w:sz="0" w:space="0" w:color="auto"/>
        <w:right w:val="none" w:sz="0" w:space="0" w:color="auto"/>
      </w:divBdr>
      <w:divsChild>
        <w:div w:id="209807077">
          <w:marLeft w:val="0"/>
          <w:marRight w:val="0"/>
          <w:marTop w:val="0"/>
          <w:marBottom w:val="0"/>
          <w:divBdr>
            <w:top w:val="none" w:sz="0" w:space="0" w:color="auto"/>
            <w:left w:val="none" w:sz="0" w:space="0" w:color="auto"/>
            <w:bottom w:val="none" w:sz="0" w:space="0" w:color="auto"/>
            <w:right w:val="none" w:sz="0" w:space="0" w:color="auto"/>
          </w:divBdr>
        </w:div>
      </w:divsChild>
    </w:div>
    <w:div w:id="204948227">
      <w:bodyDiv w:val="1"/>
      <w:marLeft w:val="0"/>
      <w:marRight w:val="0"/>
      <w:marTop w:val="0"/>
      <w:marBottom w:val="0"/>
      <w:divBdr>
        <w:top w:val="none" w:sz="0" w:space="0" w:color="auto"/>
        <w:left w:val="none" w:sz="0" w:space="0" w:color="auto"/>
        <w:bottom w:val="none" w:sz="0" w:space="0" w:color="auto"/>
        <w:right w:val="none" w:sz="0" w:space="0" w:color="auto"/>
      </w:divBdr>
      <w:divsChild>
        <w:div w:id="1270697603">
          <w:marLeft w:val="0"/>
          <w:marRight w:val="0"/>
          <w:marTop w:val="0"/>
          <w:marBottom w:val="0"/>
          <w:divBdr>
            <w:top w:val="none" w:sz="0" w:space="0" w:color="auto"/>
            <w:left w:val="none" w:sz="0" w:space="0" w:color="auto"/>
            <w:bottom w:val="none" w:sz="0" w:space="0" w:color="auto"/>
            <w:right w:val="none" w:sz="0" w:space="0" w:color="auto"/>
          </w:divBdr>
        </w:div>
      </w:divsChild>
    </w:div>
    <w:div w:id="248194004">
      <w:bodyDiv w:val="1"/>
      <w:marLeft w:val="0"/>
      <w:marRight w:val="0"/>
      <w:marTop w:val="0"/>
      <w:marBottom w:val="0"/>
      <w:divBdr>
        <w:top w:val="none" w:sz="0" w:space="0" w:color="auto"/>
        <w:left w:val="none" w:sz="0" w:space="0" w:color="auto"/>
        <w:bottom w:val="none" w:sz="0" w:space="0" w:color="auto"/>
        <w:right w:val="none" w:sz="0" w:space="0" w:color="auto"/>
      </w:divBdr>
      <w:divsChild>
        <w:div w:id="1396313750">
          <w:marLeft w:val="0"/>
          <w:marRight w:val="0"/>
          <w:marTop w:val="0"/>
          <w:marBottom w:val="0"/>
          <w:divBdr>
            <w:top w:val="none" w:sz="0" w:space="0" w:color="auto"/>
            <w:left w:val="none" w:sz="0" w:space="0" w:color="auto"/>
            <w:bottom w:val="none" w:sz="0" w:space="0" w:color="auto"/>
            <w:right w:val="none" w:sz="0" w:space="0" w:color="auto"/>
          </w:divBdr>
        </w:div>
      </w:divsChild>
    </w:div>
    <w:div w:id="373433945">
      <w:bodyDiv w:val="1"/>
      <w:marLeft w:val="0"/>
      <w:marRight w:val="0"/>
      <w:marTop w:val="0"/>
      <w:marBottom w:val="0"/>
      <w:divBdr>
        <w:top w:val="none" w:sz="0" w:space="0" w:color="auto"/>
        <w:left w:val="none" w:sz="0" w:space="0" w:color="auto"/>
        <w:bottom w:val="none" w:sz="0" w:space="0" w:color="auto"/>
        <w:right w:val="none" w:sz="0" w:space="0" w:color="auto"/>
      </w:divBdr>
      <w:divsChild>
        <w:div w:id="2012945310">
          <w:marLeft w:val="0"/>
          <w:marRight w:val="0"/>
          <w:marTop w:val="0"/>
          <w:marBottom w:val="0"/>
          <w:divBdr>
            <w:top w:val="none" w:sz="0" w:space="0" w:color="auto"/>
            <w:left w:val="none" w:sz="0" w:space="0" w:color="auto"/>
            <w:bottom w:val="none" w:sz="0" w:space="0" w:color="auto"/>
            <w:right w:val="none" w:sz="0" w:space="0" w:color="auto"/>
          </w:divBdr>
        </w:div>
      </w:divsChild>
    </w:div>
    <w:div w:id="396100618">
      <w:bodyDiv w:val="1"/>
      <w:marLeft w:val="0"/>
      <w:marRight w:val="0"/>
      <w:marTop w:val="0"/>
      <w:marBottom w:val="0"/>
      <w:divBdr>
        <w:top w:val="none" w:sz="0" w:space="0" w:color="auto"/>
        <w:left w:val="none" w:sz="0" w:space="0" w:color="auto"/>
        <w:bottom w:val="none" w:sz="0" w:space="0" w:color="auto"/>
        <w:right w:val="none" w:sz="0" w:space="0" w:color="auto"/>
      </w:divBdr>
      <w:divsChild>
        <w:div w:id="2015723149">
          <w:marLeft w:val="0"/>
          <w:marRight w:val="0"/>
          <w:marTop w:val="0"/>
          <w:marBottom w:val="0"/>
          <w:divBdr>
            <w:top w:val="none" w:sz="0" w:space="0" w:color="auto"/>
            <w:left w:val="none" w:sz="0" w:space="0" w:color="auto"/>
            <w:bottom w:val="none" w:sz="0" w:space="0" w:color="auto"/>
            <w:right w:val="none" w:sz="0" w:space="0" w:color="auto"/>
          </w:divBdr>
        </w:div>
      </w:divsChild>
    </w:div>
    <w:div w:id="434524169">
      <w:bodyDiv w:val="1"/>
      <w:marLeft w:val="0"/>
      <w:marRight w:val="0"/>
      <w:marTop w:val="0"/>
      <w:marBottom w:val="0"/>
      <w:divBdr>
        <w:top w:val="none" w:sz="0" w:space="0" w:color="auto"/>
        <w:left w:val="none" w:sz="0" w:space="0" w:color="auto"/>
        <w:bottom w:val="none" w:sz="0" w:space="0" w:color="auto"/>
        <w:right w:val="none" w:sz="0" w:space="0" w:color="auto"/>
      </w:divBdr>
      <w:divsChild>
        <w:div w:id="831603917">
          <w:marLeft w:val="0"/>
          <w:marRight w:val="0"/>
          <w:marTop w:val="0"/>
          <w:marBottom w:val="0"/>
          <w:divBdr>
            <w:top w:val="none" w:sz="0" w:space="0" w:color="auto"/>
            <w:left w:val="none" w:sz="0" w:space="0" w:color="auto"/>
            <w:bottom w:val="none" w:sz="0" w:space="0" w:color="auto"/>
            <w:right w:val="none" w:sz="0" w:space="0" w:color="auto"/>
          </w:divBdr>
        </w:div>
      </w:divsChild>
    </w:div>
    <w:div w:id="506673735">
      <w:bodyDiv w:val="1"/>
      <w:marLeft w:val="0"/>
      <w:marRight w:val="0"/>
      <w:marTop w:val="0"/>
      <w:marBottom w:val="0"/>
      <w:divBdr>
        <w:top w:val="none" w:sz="0" w:space="0" w:color="auto"/>
        <w:left w:val="none" w:sz="0" w:space="0" w:color="auto"/>
        <w:bottom w:val="none" w:sz="0" w:space="0" w:color="auto"/>
        <w:right w:val="none" w:sz="0" w:space="0" w:color="auto"/>
      </w:divBdr>
      <w:divsChild>
        <w:div w:id="993800176">
          <w:marLeft w:val="0"/>
          <w:marRight w:val="0"/>
          <w:marTop w:val="0"/>
          <w:marBottom w:val="0"/>
          <w:divBdr>
            <w:top w:val="none" w:sz="0" w:space="0" w:color="auto"/>
            <w:left w:val="none" w:sz="0" w:space="0" w:color="auto"/>
            <w:bottom w:val="none" w:sz="0" w:space="0" w:color="auto"/>
            <w:right w:val="none" w:sz="0" w:space="0" w:color="auto"/>
          </w:divBdr>
        </w:div>
      </w:divsChild>
    </w:div>
    <w:div w:id="625696573">
      <w:bodyDiv w:val="1"/>
      <w:marLeft w:val="0"/>
      <w:marRight w:val="0"/>
      <w:marTop w:val="0"/>
      <w:marBottom w:val="0"/>
      <w:divBdr>
        <w:top w:val="none" w:sz="0" w:space="0" w:color="auto"/>
        <w:left w:val="none" w:sz="0" w:space="0" w:color="auto"/>
        <w:bottom w:val="none" w:sz="0" w:space="0" w:color="auto"/>
        <w:right w:val="none" w:sz="0" w:space="0" w:color="auto"/>
      </w:divBdr>
      <w:divsChild>
        <w:div w:id="1965040727">
          <w:marLeft w:val="0"/>
          <w:marRight w:val="0"/>
          <w:marTop w:val="0"/>
          <w:marBottom w:val="0"/>
          <w:divBdr>
            <w:top w:val="none" w:sz="0" w:space="0" w:color="auto"/>
            <w:left w:val="none" w:sz="0" w:space="0" w:color="auto"/>
            <w:bottom w:val="none" w:sz="0" w:space="0" w:color="auto"/>
            <w:right w:val="none" w:sz="0" w:space="0" w:color="auto"/>
          </w:divBdr>
        </w:div>
        <w:div w:id="514267393">
          <w:marLeft w:val="0"/>
          <w:marRight w:val="0"/>
          <w:marTop w:val="0"/>
          <w:marBottom w:val="0"/>
          <w:divBdr>
            <w:top w:val="none" w:sz="0" w:space="0" w:color="auto"/>
            <w:left w:val="none" w:sz="0" w:space="0" w:color="auto"/>
            <w:bottom w:val="none" w:sz="0" w:space="0" w:color="auto"/>
            <w:right w:val="none" w:sz="0" w:space="0" w:color="auto"/>
          </w:divBdr>
        </w:div>
        <w:div w:id="990259072">
          <w:marLeft w:val="0"/>
          <w:marRight w:val="0"/>
          <w:marTop w:val="0"/>
          <w:marBottom w:val="0"/>
          <w:divBdr>
            <w:top w:val="none" w:sz="0" w:space="0" w:color="auto"/>
            <w:left w:val="none" w:sz="0" w:space="0" w:color="auto"/>
            <w:bottom w:val="none" w:sz="0" w:space="0" w:color="auto"/>
            <w:right w:val="none" w:sz="0" w:space="0" w:color="auto"/>
          </w:divBdr>
        </w:div>
        <w:div w:id="1991012560">
          <w:marLeft w:val="0"/>
          <w:marRight w:val="0"/>
          <w:marTop w:val="0"/>
          <w:marBottom w:val="0"/>
          <w:divBdr>
            <w:top w:val="none" w:sz="0" w:space="0" w:color="auto"/>
            <w:left w:val="none" w:sz="0" w:space="0" w:color="auto"/>
            <w:bottom w:val="none" w:sz="0" w:space="0" w:color="auto"/>
            <w:right w:val="none" w:sz="0" w:space="0" w:color="auto"/>
          </w:divBdr>
        </w:div>
        <w:div w:id="2106030206">
          <w:marLeft w:val="0"/>
          <w:marRight w:val="0"/>
          <w:marTop w:val="0"/>
          <w:marBottom w:val="0"/>
          <w:divBdr>
            <w:top w:val="none" w:sz="0" w:space="0" w:color="auto"/>
            <w:left w:val="none" w:sz="0" w:space="0" w:color="auto"/>
            <w:bottom w:val="none" w:sz="0" w:space="0" w:color="auto"/>
            <w:right w:val="none" w:sz="0" w:space="0" w:color="auto"/>
          </w:divBdr>
        </w:div>
        <w:div w:id="683363618">
          <w:marLeft w:val="0"/>
          <w:marRight w:val="0"/>
          <w:marTop w:val="0"/>
          <w:marBottom w:val="0"/>
          <w:divBdr>
            <w:top w:val="none" w:sz="0" w:space="0" w:color="auto"/>
            <w:left w:val="none" w:sz="0" w:space="0" w:color="auto"/>
            <w:bottom w:val="none" w:sz="0" w:space="0" w:color="auto"/>
            <w:right w:val="none" w:sz="0" w:space="0" w:color="auto"/>
          </w:divBdr>
        </w:div>
      </w:divsChild>
    </w:div>
    <w:div w:id="644163284">
      <w:bodyDiv w:val="1"/>
      <w:marLeft w:val="0"/>
      <w:marRight w:val="0"/>
      <w:marTop w:val="0"/>
      <w:marBottom w:val="0"/>
      <w:divBdr>
        <w:top w:val="none" w:sz="0" w:space="0" w:color="auto"/>
        <w:left w:val="none" w:sz="0" w:space="0" w:color="auto"/>
        <w:bottom w:val="none" w:sz="0" w:space="0" w:color="auto"/>
        <w:right w:val="none" w:sz="0" w:space="0" w:color="auto"/>
      </w:divBdr>
      <w:divsChild>
        <w:div w:id="8023699">
          <w:marLeft w:val="0"/>
          <w:marRight w:val="0"/>
          <w:marTop w:val="0"/>
          <w:marBottom w:val="0"/>
          <w:divBdr>
            <w:top w:val="none" w:sz="0" w:space="0" w:color="auto"/>
            <w:left w:val="none" w:sz="0" w:space="0" w:color="auto"/>
            <w:bottom w:val="none" w:sz="0" w:space="0" w:color="auto"/>
            <w:right w:val="none" w:sz="0" w:space="0" w:color="auto"/>
          </w:divBdr>
        </w:div>
      </w:divsChild>
    </w:div>
    <w:div w:id="741414308">
      <w:bodyDiv w:val="1"/>
      <w:marLeft w:val="0"/>
      <w:marRight w:val="0"/>
      <w:marTop w:val="0"/>
      <w:marBottom w:val="0"/>
      <w:divBdr>
        <w:top w:val="none" w:sz="0" w:space="0" w:color="auto"/>
        <w:left w:val="none" w:sz="0" w:space="0" w:color="auto"/>
        <w:bottom w:val="none" w:sz="0" w:space="0" w:color="auto"/>
        <w:right w:val="none" w:sz="0" w:space="0" w:color="auto"/>
      </w:divBdr>
      <w:divsChild>
        <w:div w:id="1513105328">
          <w:marLeft w:val="0"/>
          <w:marRight w:val="0"/>
          <w:marTop w:val="0"/>
          <w:marBottom w:val="0"/>
          <w:divBdr>
            <w:top w:val="none" w:sz="0" w:space="0" w:color="auto"/>
            <w:left w:val="none" w:sz="0" w:space="0" w:color="auto"/>
            <w:bottom w:val="none" w:sz="0" w:space="0" w:color="auto"/>
            <w:right w:val="none" w:sz="0" w:space="0" w:color="auto"/>
          </w:divBdr>
        </w:div>
      </w:divsChild>
    </w:div>
    <w:div w:id="743112753">
      <w:bodyDiv w:val="1"/>
      <w:marLeft w:val="0"/>
      <w:marRight w:val="0"/>
      <w:marTop w:val="0"/>
      <w:marBottom w:val="0"/>
      <w:divBdr>
        <w:top w:val="none" w:sz="0" w:space="0" w:color="auto"/>
        <w:left w:val="none" w:sz="0" w:space="0" w:color="auto"/>
        <w:bottom w:val="none" w:sz="0" w:space="0" w:color="auto"/>
        <w:right w:val="none" w:sz="0" w:space="0" w:color="auto"/>
      </w:divBdr>
      <w:divsChild>
        <w:div w:id="698773216">
          <w:marLeft w:val="0"/>
          <w:marRight w:val="0"/>
          <w:marTop w:val="0"/>
          <w:marBottom w:val="0"/>
          <w:divBdr>
            <w:top w:val="none" w:sz="0" w:space="0" w:color="auto"/>
            <w:left w:val="none" w:sz="0" w:space="0" w:color="auto"/>
            <w:bottom w:val="none" w:sz="0" w:space="0" w:color="auto"/>
            <w:right w:val="none" w:sz="0" w:space="0" w:color="auto"/>
          </w:divBdr>
        </w:div>
      </w:divsChild>
    </w:div>
    <w:div w:id="788358343">
      <w:bodyDiv w:val="1"/>
      <w:marLeft w:val="0"/>
      <w:marRight w:val="0"/>
      <w:marTop w:val="0"/>
      <w:marBottom w:val="0"/>
      <w:divBdr>
        <w:top w:val="none" w:sz="0" w:space="0" w:color="auto"/>
        <w:left w:val="none" w:sz="0" w:space="0" w:color="auto"/>
        <w:bottom w:val="none" w:sz="0" w:space="0" w:color="auto"/>
        <w:right w:val="none" w:sz="0" w:space="0" w:color="auto"/>
      </w:divBdr>
      <w:divsChild>
        <w:div w:id="540245492">
          <w:marLeft w:val="0"/>
          <w:marRight w:val="0"/>
          <w:marTop w:val="0"/>
          <w:marBottom w:val="0"/>
          <w:divBdr>
            <w:top w:val="none" w:sz="0" w:space="0" w:color="auto"/>
            <w:left w:val="none" w:sz="0" w:space="0" w:color="auto"/>
            <w:bottom w:val="none" w:sz="0" w:space="0" w:color="auto"/>
            <w:right w:val="none" w:sz="0" w:space="0" w:color="auto"/>
          </w:divBdr>
        </w:div>
      </w:divsChild>
    </w:div>
    <w:div w:id="926622622">
      <w:bodyDiv w:val="1"/>
      <w:marLeft w:val="0"/>
      <w:marRight w:val="0"/>
      <w:marTop w:val="0"/>
      <w:marBottom w:val="0"/>
      <w:divBdr>
        <w:top w:val="none" w:sz="0" w:space="0" w:color="auto"/>
        <w:left w:val="none" w:sz="0" w:space="0" w:color="auto"/>
        <w:bottom w:val="none" w:sz="0" w:space="0" w:color="auto"/>
        <w:right w:val="none" w:sz="0" w:space="0" w:color="auto"/>
      </w:divBdr>
      <w:divsChild>
        <w:div w:id="1779521634">
          <w:marLeft w:val="0"/>
          <w:marRight w:val="0"/>
          <w:marTop w:val="0"/>
          <w:marBottom w:val="0"/>
          <w:divBdr>
            <w:top w:val="none" w:sz="0" w:space="0" w:color="auto"/>
            <w:left w:val="none" w:sz="0" w:space="0" w:color="auto"/>
            <w:bottom w:val="none" w:sz="0" w:space="0" w:color="auto"/>
            <w:right w:val="none" w:sz="0" w:space="0" w:color="auto"/>
          </w:divBdr>
        </w:div>
      </w:divsChild>
    </w:div>
    <w:div w:id="927690055">
      <w:bodyDiv w:val="1"/>
      <w:marLeft w:val="0"/>
      <w:marRight w:val="0"/>
      <w:marTop w:val="0"/>
      <w:marBottom w:val="0"/>
      <w:divBdr>
        <w:top w:val="none" w:sz="0" w:space="0" w:color="auto"/>
        <w:left w:val="none" w:sz="0" w:space="0" w:color="auto"/>
        <w:bottom w:val="none" w:sz="0" w:space="0" w:color="auto"/>
        <w:right w:val="none" w:sz="0" w:space="0" w:color="auto"/>
      </w:divBdr>
    </w:div>
    <w:div w:id="1080833412">
      <w:bodyDiv w:val="1"/>
      <w:marLeft w:val="0"/>
      <w:marRight w:val="0"/>
      <w:marTop w:val="0"/>
      <w:marBottom w:val="0"/>
      <w:divBdr>
        <w:top w:val="none" w:sz="0" w:space="0" w:color="auto"/>
        <w:left w:val="none" w:sz="0" w:space="0" w:color="auto"/>
        <w:bottom w:val="none" w:sz="0" w:space="0" w:color="auto"/>
        <w:right w:val="none" w:sz="0" w:space="0" w:color="auto"/>
      </w:divBdr>
    </w:div>
    <w:div w:id="1217662452">
      <w:bodyDiv w:val="1"/>
      <w:marLeft w:val="0"/>
      <w:marRight w:val="0"/>
      <w:marTop w:val="0"/>
      <w:marBottom w:val="0"/>
      <w:divBdr>
        <w:top w:val="none" w:sz="0" w:space="0" w:color="auto"/>
        <w:left w:val="none" w:sz="0" w:space="0" w:color="auto"/>
        <w:bottom w:val="none" w:sz="0" w:space="0" w:color="auto"/>
        <w:right w:val="none" w:sz="0" w:space="0" w:color="auto"/>
      </w:divBdr>
      <w:divsChild>
        <w:div w:id="1783836032">
          <w:marLeft w:val="0"/>
          <w:marRight w:val="0"/>
          <w:marTop w:val="0"/>
          <w:marBottom w:val="0"/>
          <w:divBdr>
            <w:top w:val="none" w:sz="0" w:space="0" w:color="auto"/>
            <w:left w:val="none" w:sz="0" w:space="0" w:color="auto"/>
            <w:bottom w:val="none" w:sz="0" w:space="0" w:color="auto"/>
            <w:right w:val="none" w:sz="0" w:space="0" w:color="auto"/>
          </w:divBdr>
          <w:divsChild>
            <w:div w:id="2056193828">
              <w:marLeft w:val="0"/>
              <w:marRight w:val="0"/>
              <w:marTop w:val="0"/>
              <w:marBottom w:val="0"/>
              <w:divBdr>
                <w:top w:val="none" w:sz="0" w:space="0" w:color="auto"/>
                <w:left w:val="none" w:sz="0" w:space="0" w:color="auto"/>
                <w:bottom w:val="none" w:sz="0" w:space="0" w:color="auto"/>
                <w:right w:val="none" w:sz="0" w:space="0" w:color="auto"/>
              </w:divBdr>
              <w:divsChild>
                <w:div w:id="911351356">
                  <w:marLeft w:val="0"/>
                  <w:marRight w:val="0"/>
                  <w:marTop w:val="0"/>
                  <w:marBottom w:val="0"/>
                  <w:divBdr>
                    <w:top w:val="none" w:sz="0" w:space="0" w:color="auto"/>
                    <w:left w:val="none" w:sz="0" w:space="0" w:color="auto"/>
                    <w:bottom w:val="none" w:sz="0" w:space="0" w:color="auto"/>
                    <w:right w:val="none" w:sz="0" w:space="0" w:color="auto"/>
                  </w:divBdr>
                  <w:divsChild>
                    <w:div w:id="618071659">
                      <w:marLeft w:val="0"/>
                      <w:marRight w:val="0"/>
                      <w:marTop w:val="0"/>
                      <w:marBottom w:val="0"/>
                      <w:divBdr>
                        <w:top w:val="none" w:sz="0" w:space="0" w:color="auto"/>
                        <w:left w:val="none" w:sz="0" w:space="0" w:color="auto"/>
                        <w:bottom w:val="none" w:sz="0" w:space="0" w:color="auto"/>
                        <w:right w:val="none" w:sz="0" w:space="0" w:color="auto"/>
                      </w:divBdr>
                      <w:divsChild>
                        <w:div w:id="12981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958144">
          <w:marLeft w:val="0"/>
          <w:marRight w:val="0"/>
          <w:marTop w:val="0"/>
          <w:marBottom w:val="0"/>
          <w:divBdr>
            <w:top w:val="none" w:sz="0" w:space="0" w:color="auto"/>
            <w:left w:val="none" w:sz="0" w:space="0" w:color="auto"/>
            <w:bottom w:val="none" w:sz="0" w:space="0" w:color="auto"/>
            <w:right w:val="none" w:sz="0" w:space="0" w:color="auto"/>
          </w:divBdr>
          <w:divsChild>
            <w:div w:id="124852977">
              <w:marLeft w:val="0"/>
              <w:marRight w:val="0"/>
              <w:marTop w:val="0"/>
              <w:marBottom w:val="0"/>
              <w:divBdr>
                <w:top w:val="none" w:sz="0" w:space="0" w:color="auto"/>
                <w:left w:val="none" w:sz="0" w:space="0" w:color="auto"/>
                <w:bottom w:val="none" w:sz="0" w:space="0" w:color="auto"/>
                <w:right w:val="none" w:sz="0" w:space="0" w:color="auto"/>
              </w:divBdr>
              <w:divsChild>
                <w:div w:id="67503318">
                  <w:marLeft w:val="0"/>
                  <w:marRight w:val="0"/>
                  <w:marTop w:val="0"/>
                  <w:marBottom w:val="0"/>
                  <w:divBdr>
                    <w:top w:val="none" w:sz="0" w:space="0" w:color="auto"/>
                    <w:left w:val="none" w:sz="0" w:space="0" w:color="auto"/>
                    <w:bottom w:val="none" w:sz="0" w:space="0" w:color="auto"/>
                    <w:right w:val="none" w:sz="0" w:space="0" w:color="auto"/>
                  </w:divBdr>
                  <w:divsChild>
                    <w:div w:id="916552202">
                      <w:marLeft w:val="0"/>
                      <w:marRight w:val="0"/>
                      <w:marTop w:val="0"/>
                      <w:marBottom w:val="0"/>
                      <w:divBdr>
                        <w:top w:val="none" w:sz="0" w:space="0" w:color="auto"/>
                        <w:left w:val="none" w:sz="0" w:space="0" w:color="auto"/>
                        <w:bottom w:val="none" w:sz="0" w:space="0" w:color="auto"/>
                        <w:right w:val="none" w:sz="0" w:space="0" w:color="auto"/>
                      </w:divBdr>
                      <w:divsChild>
                        <w:div w:id="62373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650855">
      <w:bodyDiv w:val="1"/>
      <w:marLeft w:val="0"/>
      <w:marRight w:val="0"/>
      <w:marTop w:val="0"/>
      <w:marBottom w:val="0"/>
      <w:divBdr>
        <w:top w:val="none" w:sz="0" w:space="0" w:color="auto"/>
        <w:left w:val="none" w:sz="0" w:space="0" w:color="auto"/>
        <w:bottom w:val="none" w:sz="0" w:space="0" w:color="auto"/>
        <w:right w:val="none" w:sz="0" w:space="0" w:color="auto"/>
      </w:divBdr>
      <w:divsChild>
        <w:div w:id="827983211">
          <w:marLeft w:val="0"/>
          <w:marRight w:val="0"/>
          <w:marTop w:val="0"/>
          <w:marBottom w:val="0"/>
          <w:divBdr>
            <w:top w:val="none" w:sz="0" w:space="0" w:color="auto"/>
            <w:left w:val="none" w:sz="0" w:space="0" w:color="auto"/>
            <w:bottom w:val="none" w:sz="0" w:space="0" w:color="auto"/>
            <w:right w:val="none" w:sz="0" w:space="0" w:color="auto"/>
          </w:divBdr>
        </w:div>
      </w:divsChild>
    </w:div>
    <w:div w:id="1469199281">
      <w:bodyDiv w:val="1"/>
      <w:marLeft w:val="0"/>
      <w:marRight w:val="0"/>
      <w:marTop w:val="0"/>
      <w:marBottom w:val="0"/>
      <w:divBdr>
        <w:top w:val="none" w:sz="0" w:space="0" w:color="auto"/>
        <w:left w:val="none" w:sz="0" w:space="0" w:color="auto"/>
        <w:bottom w:val="none" w:sz="0" w:space="0" w:color="auto"/>
        <w:right w:val="none" w:sz="0" w:space="0" w:color="auto"/>
      </w:divBdr>
      <w:divsChild>
        <w:div w:id="905921213">
          <w:marLeft w:val="0"/>
          <w:marRight w:val="0"/>
          <w:marTop w:val="0"/>
          <w:marBottom w:val="0"/>
          <w:divBdr>
            <w:top w:val="none" w:sz="0" w:space="0" w:color="auto"/>
            <w:left w:val="none" w:sz="0" w:space="0" w:color="auto"/>
            <w:bottom w:val="none" w:sz="0" w:space="0" w:color="auto"/>
            <w:right w:val="none" w:sz="0" w:space="0" w:color="auto"/>
          </w:divBdr>
        </w:div>
      </w:divsChild>
    </w:div>
    <w:div w:id="1597515774">
      <w:bodyDiv w:val="1"/>
      <w:marLeft w:val="0"/>
      <w:marRight w:val="0"/>
      <w:marTop w:val="0"/>
      <w:marBottom w:val="0"/>
      <w:divBdr>
        <w:top w:val="none" w:sz="0" w:space="0" w:color="auto"/>
        <w:left w:val="none" w:sz="0" w:space="0" w:color="auto"/>
        <w:bottom w:val="none" w:sz="0" w:space="0" w:color="auto"/>
        <w:right w:val="none" w:sz="0" w:space="0" w:color="auto"/>
      </w:divBdr>
    </w:div>
    <w:div w:id="1679891717">
      <w:bodyDiv w:val="1"/>
      <w:marLeft w:val="0"/>
      <w:marRight w:val="0"/>
      <w:marTop w:val="0"/>
      <w:marBottom w:val="0"/>
      <w:divBdr>
        <w:top w:val="none" w:sz="0" w:space="0" w:color="auto"/>
        <w:left w:val="none" w:sz="0" w:space="0" w:color="auto"/>
        <w:bottom w:val="none" w:sz="0" w:space="0" w:color="auto"/>
        <w:right w:val="none" w:sz="0" w:space="0" w:color="auto"/>
      </w:divBdr>
      <w:divsChild>
        <w:div w:id="534269506">
          <w:marLeft w:val="0"/>
          <w:marRight w:val="0"/>
          <w:marTop w:val="0"/>
          <w:marBottom w:val="0"/>
          <w:divBdr>
            <w:top w:val="none" w:sz="0" w:space="0" w:color="auto"/>
            <w:left w:val="none" w:sz="0" w:space="0" w:color="auto"/>
            <w:bottom w:val="none" w:sz="0" w:space="0" w:color="auto"/>
            <w:right w:val="none" w:sz="0" w:space="0" w:color="auto"/>
          </w:divBdr>
        </w:div>
      </w:divsChild>
    </w:div>
    <w:div w:id="1723940333">
      <w:bodyDiv w:val="1"/>
      <w:marLeft w:val="0"/>
      <w:marRight w:val="0"/>
      <w:marTop w:val="0"/>
      <w:marBottom w:val="0"/>
      <w:divBdr>
        <w:top w:val="none" w:sz="0" w:space="0" w:color="auto"/>
        <w:left w:val="none" w:sz="0" w:space="0" w:color="auto"/>
        <w:bottom w:val="none" w:sz="0" w:space="0" w:color="auto"/>
        <w:right w:val="none" w:sz="0" w:space="0" w:color="auto"/>
      </w:divBdr>
      <w:divsChild>
        <w:div w:id="1454639227">
          <w:marLeft w:val="0"/>
          <w:marRight w:val="0"/>
          <w:marTop w:val="0"/>
          <w:marBottom w:val="0"/>
          <w:divBdr>
            <w:top w:val="none" w:sz="0" w:space="0" w:color="auto"/>
            <w:left w:val="none" w:sz="0" w:space="0" w:color="auto"/>
            <w:bottom w:val="none" w:sz="0" w:space="0" w:color="auto"/>
            <w:right w:val="none" w:sz="0" w:space="0" w:color="auto"/>
          </w:divBdr>
        </w:div>
      </w:divsChild>
    </w:div>
    <w:div w:id="1733192030">
      <w:bodyDiv w:val="1"/>
      <w:marLeft w:val="0"/>
      <w:marRight w:val="0"/>
      <w:marTop w:val="0"/>
      <w:marBottom w:val="0"/>
      <w:divBdr>
        <w:top w:val="none" w:sz="0" w:space="0" w:color="auto"/>
        <w:left w:val="none" w:sz="0" w:space="0" w:color="auto"/>
        <w:bottom w:val="none" w:sz="0" w:space="0" w:color="auto"/>
        <w:right w:val="none" w:sz="0" w:space="0" w:color="auto"/>
      </w:divBdr>
      <w:divsChild>
        <w:div w:id="1146821636">
          <w:marLeft w:val="0"/>
          <w:marRight w:val="0"/>
          <w:marTop w:val="0"/>
          <w:marBottom w:val="0"/>
          <w:divBdr>
            <w:top w:val="none" w:sz="0" w:space="0" w:color="auto"/>
            <w:left w:val="none" w:sz="0" w:space="0" w:color="auto"/>
            <w:bottom w:val="none" w:sz="0" w:space="0" w:color="auto"/>
            <w:right w:val="none" w:sz="0" w:space="0" w:color="auto"/>
          </w:divBdr>
        </w:div>
      </w:divsChild>
    </w:div>
    <w:div w:id="1835678266">
      <w:bodyDiv w:val="1"/>
      <w:marLeft w:val="0"/>
      <w:marRight w:val="0"/>
      <w:marTop w:val="0"/>
      <w:marBottom w:val="0"/>
      <w:divBdr>
        <w:top w:val="none" w:sz="0" w:space="0" w:color="auto"/>
        <w:left w:val="none" w:sz="0" w:space="0" w:color="auto"/>
        <w:bottom w:val="none" w:sz="0" w:space="0" w:color="auto"/>
        <w:right w:val="none" w:sz="0" w:space="0" w:color="auto"/>
      </w:divBdr>
      <w:divsChild>
        <w:div w:id="2034963890">
          <w:marLeft w:val="0"/>
          <w:marRight w:val="0"/>
          <w:marTop w:val="0"/>
          <w:marBottom w:val="0"/>
          <w:divBdr>
            <w:top w:val="none" w:sz="0" w:space="0" w:color="auto"/>
            <w:left w:val="none" w:sz="0" w:space="0" w:color="auto"/>
            <w:bottom w:val="none" w:sz="0" w:space="0" w:color="auto"/>
            <w:right w:val="none" w:sz="0" w:space="0" w:color="auto"/>
          </w:divBdr>
        </w:div>
      </w:divsChild>
    </w:div>
    <w:div w:id="1925145452">
      <w:bodyDiv w:val="1"/>
      <w:marLeft w:val="0"/>
      <w:marRight w:val="0"/>
      <w:marTop w:val="0"/>
      <w:marBottom w:val="0"/>
      <w:divBdr>
        <w:top w:val="none" w:sz="0" w:space="0" w:color="auto"/>
        <w:left w:val="none" w:sz="0" w:space="0" w:color="auto"/>
        <w:bottom w:val="none" w:sz="0" w:space="0" w:color="auto"/>
        <w:right w:val="none" w:sz="0" w:space="0" w:color="auto"/>
      </w:divBdr>
      <w:divsChild>
        <w:div w:id="2007902324">
          <w:marLeft w:val="0"/>
          <w:marRight w:val="0"/>
          <w:marTop w:val="0"/>
          <w:marBottom w:val="0"/>
          <w:divBdr>
            <w:top w:val="none" w:sz="0" w:space="0" w:color="auto"/>
            <w:left w:val="none" w:sz="0" w:space="0" w:color="auto"/>
            <w:bottom w:val="none" w:sz="0" w:space="0" w:color="auto"/>
            <w:right w:val="none" w:sz="0" w:space="0" w:color="auto"/>
          </w:divBdr>
        </w:div>
      </w:divsChild>
    </w:div>
    <w:div w:id="1960723665">
      <w:bodyDiv w:val="1"/>
      <w:marLeft w:val="0"/>
      <w:marRight w:val="0"/>
      <w:marTop w:val="0"/>
      <w:marBottom w:val="0"/>
      <w:divBdr>
        <w:top w:val="none" w:sz="0" w:space="0" w:color="auto"/>
        <w:left w:val="none" w:sz="0" w:space="0" w:color="auto"/>
        <w:bottom w:val="none" w:sz="0" w:space="0" w:color="auto"/>
        <w:right w:val="none" w:sz="0" w:space="0" w:color="auto"/>
      </w:divBdr>
      <w:divsChild>
        <w:div w:id="1291471129">
          <w:marLeft w:val="0"/>
          <w:marRight w:val="0"/>
          <w:marTop w:val="0"/>
          <w:marBottom w:val="0"/>
          <w:divBdr>
            <w:top w:val="none" w:sz="0" w:space="0" w:color="auto"/>
            <w:left w:val="none" w:sz="0" w:space="0" w:color="auto"/>
            <w:bottom w:val="none" w:sz="0" w:space="0" w:color="auto"/>
            <w:right w:val="none" w:sz="0" w:space="0" w:color="auto"/>
          </w:divBdr>
        </w:div>
      </w:divsChild>
    </w:div>
    <w:div w:id="1975791136">
      <w:bodyDiv w:val="1"/>
      <w:marLeft w:val="0"/>
      <w:marRight w:val="0"/>
      <w:marTop w:val="0"/>
      <w:marBottom w:val="0"/>
      <w:divBdr>
        <w:top w:val="none" w:sz="0" w:space="0" w:color="auto"/>
        <w:left w:val="none" w:sz="0" w:space="0" w:color="auto"/>
        <w:bottom w:val="none" w:sz="0" w:space="0" w:color="auto"/>
        <w:right w:val="none" w:sz="0" w:space="0" w:color="auto"/>
      </w:divBdr>
      <w:divsChild>
        <w:div w:id="1841693562">
          <w:marLeft w:val="0"/>
          <w:marRight w:val="0"/>
          <w:marTop w:val="0"/>
          <w:marBottom w:val="0"/>
          <w:divBdr>
            <w:top w:val="none" w:sz="0" w:space="0" w:color="auto"/>
            <w:left w:val="none" w:sz="0" w:space="0" w:color="auto"/>
            <w:bottom w:val="none" w:sz="0" w:space="0" w:color="auto"/>
            <w:right w:val="none" w:sz="0" w:space="0" w:color="auto"/>
          </w:divBdr>
        </w:div>
      </w:divsChild>
    </w:div>
    <w:div w:id="2059162607">
      <w:bodyDiv w:val="1"/>
      <w:marLeft w:val="0"/>
      <w:marRight w:val="0"/>
      <w:marTop w:val="0"/>
      <w:marBottom w:val="0"/>
      <w:divBdr>
        <w:top w:val="none" w:sz="0" w:space="0" w:color="auto"/>
        <w:left w:val="none" w:sz="0" w:space="0" w:color="auto"/>
        <w:bottom w:val="none" w:sz="0" w:space="0" w:color="auto"/>
        <w:right w:val="none" w:sz="0" w:space="0" w:color="auto"/>
      </w:divBdr>
      <w:divsChild>
        <w:div w:id="1593339">
          <w:marLeft w:val="0"/>
          <w:marRight w:val="0"/>
          <w:marTop w:val="0"/>
          <w:marBottom w:val="0"/>
          <w:divBdr>
            <w:top w:val="none" w:sz="0" w:space="0" w:color="auto"/>
            <w:left w:val="none" w:sz="0" w:space="0" w:color="auto"/>
            <w:bottom w:val="none" w:sz="0" w:space="0" w:color="auto"/>
            <w:right w:val="none" w:sz="0" w:space="0" w:color="auto"/>
          </w:divBdr>
        </w:div>
      </w:divsChild>
    </w:div>
    <w:div w:id="2089380999">
      <w:bodyDiv w:val="1"/>
      <w:marLeft w:val="0"/>
      <w:marRight w:val="0"/>
      <w:marTop w:val="0"/>
      <w:marBottom w:val="0"/>
      <w:divBdr>
        <w:top w:val="none" w:sz="0" w:space="0" w:color="auto"/>
        <w:left w:val="none" w:sz="0" w:space="0" w:color="auto"/>
        <w:bottom w:val="none" w:sz="0" w:space="0" w:color="auto"/>
        <w:right w:val="none" w:sz="0" w:space="0" w:color="auto"/>
      </w:divBdr>
      <w:divsChild>
        <w:div w:id="1958561523">
          <w:marLeft w:val="0"/>
          <w:marRight w:val="0"/>
          <w:marTop w:val="0"/>
          <w:marBottom w:val="0"/>
          <w:divBdr>
            <w:top w:val="none" w:sz="0" w:space="0" w:color="auto"/>
            <w:left w:val="none" w:sz="0" w:space="0" w:color="auto"/>
            <w:bottom w:val="none" w:sz="0" w:space="0" w:color="auto"/>
            <w:right w:val="none" w:sz="0" w:space="0" w:color="auto"/>
          </w:divBdr>
        </w:div>
      </w:divsChild>
    </w:div>
    <w:div w:id="2131244872">
      <w:bodyDiv w:val="1"/>
      <w:marLeft w:val="0"/>
      <w:marRight w:val="0"/>
      <w:marTop w:val="0"/>
      <w:marBottom w:val="0"/>
      <w:divBdr>
        <w:top w:val="none" w:sz="0" w:space="0" w:color="auto"/>
        <w:left w:val="none" w:sz="0" w:space="0" w:color="auto"/>
        <w:bottom w:val="none" w:sz="0" w:space="0" w:color="auto"/>
        <w:right w:val="none" w:sz="0" w:space="0" w:color="auto"/>
      </w:divBdr>
      <w:divsChild>
        <w:div w:id="1217426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44AA1-4DD7-481B-918B-D39499380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8454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2019-12-02T09:05:00Z</dcterms:created>
  <dcterms:modified xsi:type="dcterms:W3CDTF">2019-12-02T09:05:00Z</dcterms:modified>
</cp:coreProperties>
</file>